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湖南省统计局第四次全国农业普查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“两员”证件吊牌采购公告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湖南省统计局第四次全国农业普查“两员”证件吊牌采购，现采用发布公告方式，邀请符合资格条件的供应商提交证明材料参与询价采购。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ascii="Arial" w:hAnsi="Arial" w:cs="Arial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一、项目概况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为湖南省第四次全国农业普查“两员”定制供应证件吊牌卡套，具体内容见附件。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二、项目名称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湖南省统计局第四次全国农业普查“两员”证件吊牌项目。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三、项目预算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人民币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39.15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四、供应商基本资格条件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（一）具有独立承担民事责任的能力，提供有效的营业执照；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（三）被“信用中国”网站列入失信被执行人和重大税收违法案件当事人名单的、被“中国政府采购网”网站列入政府采购严重违法失信行为记录名单（处罚期限尚未届满的），不得参与本项目的政府采购活动；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（四）申请单位必须以单位形式申报，不接受以个人名义申报，不接受联合体形式申报；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（五）具有履行合同所必需的生产或经销能力，不得转包或者分包。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法律、行政法规规定的其他条件。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五、供应商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履约要求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（一）需严格按照产品规格及要求（见附件1）制作。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（二）保质保量完成制作、检验、包装，并配送至全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14个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市州指定点位及省局目的地（具体数量及配送地址由采购单位另行提供）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报价需包含运费及包装费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签订合同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个工作日内制作完成并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完好无损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送到省统计局指定地点。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、参与方式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截止时间：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17:00前（以收到材料时间为准）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提交材料：供应商基本资格条件资料，包括但不限于企业法人营业执照副本（或者法人登记证书）复印件、询价响应声明（格式见附件2.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）、法定代表人身份证明（格式见附件2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）并附法定代表人身份证明复印件、授权委托人需提供法人授权委托书原件（格式见附件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2.3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）等。供应商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履约要求，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包括但不限于供应商针对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履约要求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所作出的承诺函，格式自拟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（以上文件需加盖供应商公章）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为增加评审小组对供应商的了解，供应商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可自愿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附自身介绍以及其他可以佐证单位专业能力、资质、业绩等情况的材料。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以上材料一式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份（用文件袋密封，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文件袋注明：项目名称、供应商名称、联系人及电话，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在封口处盖章）通过现场递交或邮寄方式提交。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递交地点：湖南省长沙市芙蓉区五一大道351号省政府机关二院六办公楼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、组织评选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至申请截止时间符合要求的申请单位不少于三家时，我局将组织评审小组，在产品质量、规格、服务完全相应采购需求的前提下，按有效报价最低确定成交供应商，杜绝恶性低价、劣质供货；若出现异常低价，采购单位有权要求供应商作出合理性说明，拒不说明视为无效响应。评选结果将在我局门户网站予以公示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</w:t>
      </w: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供应商需对所提供的全部资料的真实性负责，如有虚假，将取消其资格。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本公告解释权归采购单位所有。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九、联系方式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朱鹏，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联系电话：0731-8221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1031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通信地址：湖南省长沙市芙蓉区五一大道351号省政府机关二院六办公楼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办公室（邮编：410011）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湖南省统计局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</w:rPr>
        <w:t>产品规格及要求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40"/>
          <w:szCs w:val="36"/>
        </w:rPr>
      </w:pPr>
    </w:p>
    <w:tbl>
      <w:tblPr>
        <w:tblStyle w:val="5"/>
        <w:tblW w:w="55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880"/>
        <w:gridCol w:w="1515"/>
        <w:gridCol w:w="1350"/>
        <w:gridCol w:w="2333"/>
        <w:gridCol w:w="2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2"/>
                <w:szCs w:val="22"/>
                <w:lang w:eastAsia="zh-CN"/>
              </w:rPr>
              <w:t>吊牌</w:t>
            </w: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尺寸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内芯尺寸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2"/>
                <w:szCs w:val="22"/>
                <w:lang w:eastAsia="zh-CN"/>
              </w:rPr>
              <w:t>材质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2"/>
                <w:szCs w:val="22"/>
                <w:lang w:eastAsia="zh-CN"/>
              </w:rPr>
              <w:t>吊绳要求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747" w:type="pc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eastAsia="zh-CN"/>
              </w:rPr>
              <w:t>第四次全国农业普查“两员”证件吊牌卡套</w:t>
            </w:r>
          </w:p>
        </w:tc>
        <w:tc>
          <w:tcPr>
            <w:tcW w:w="4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" w:eastAsia="zh-CN"/>
              </w:rPr>
              <w:t>15.06万个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*1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mm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（竖版）</w:t>
            </w:r>
          </w:p>
        </w:tc>
        <w:tc>
          <w:tcPr>
            <w:tcW w:w="7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135*95mm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（竖版）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铝合金边框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+双面高清PVC透明保护片，全包保护，双面透明，圆角设计，喷砂氧化处理。</w:t>
            </w:r>
          </w:p>
        </w:tc>
        <w:tc>
          <w:tcPr>
            <w:tcW w:w="1084" w:type="pc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材质棉+涤纶，宽15mm，长约470mm一体挂扣绳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，定制丝印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LOGO工艺。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样式示例图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943600" cy="4808220"/>
                  <wp:effectExtent l="0" t="0" r="0" b="11430"/>
                  <wp:docPr id="2" name="图片 2" descr="微信图片_20260416163310_165_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416163310_165_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80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询价响应声明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致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  <w:lang w:eastAsia="zh-CN"/>
        </w:rPr>
        <w:t>湖南省统计局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我方已认真阅读并全面理解你单位发布的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“两员”证件吊牌采购公告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之全部内容。在此，我方郑重声明并承诺如下：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一、我方自愿参与本次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询价采购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，无保留地接受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公告所载全部条款、条件及要求，且不存在任何异议。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二、随本声明提交的响应文件（包括申请书及相关资料，一式三份）中的所有数据、信息和材料均真实、准确、完整。如存在虚假、不实或误导性内容，我方愿依法承担相应的法律责任。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三、我方同意，应你单位要求，及时提供与本次询价采购相关的任何数据、情况说明、技术资料以及其他必要的证明文件，以证实我方在本响应文件中所作各项承诺。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四、我方承诺在本次采购活动中，将严格遵守《中华人民共和国民法典》《中华人民共和国政府采购法》及其实施条例等国家有关法律法规及政府采购政策，秉持诚实信用原则，切实履行采购文件中约定的各项责任与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五、我方确认，如在参与本次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采购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过程中出现任何违反法律法规或采购文件规定的行为，我方自愿接受依据相关规定所给予的处罚或处理措施。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以上承诺具有法律约束力。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响应人名称：________________（加盖单位公章）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法定代表人（或授权代表）签字：_____________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1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日期：________年____月____日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供应商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名称：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lang w:eastAsia="zh-CN"/>
        </w:rPr>
        <w:t>社会信用代码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注册地址：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成立时间：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经营期限：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经营范围：主营：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；兼营：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姓名：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性别：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年龄：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 xml:space="preserve"> 系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供应商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4"/>
          <w:szCs w:val="24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附：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营业执照副本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或者法人登记证书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供应商名称（盖单位章）：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日</w:t>
      </w:r>
    </w:p>
    <w:p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adjustRightInd w:val="0"/>
        <w:snapToGrid w:val="0"/>
        <w:spacing w:before="50" w:line="360" w:lineRule="auto"/>
        <w:jc w:val="both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numPr>
          <w:ilvl w:val="0"/>
          <w:numId w:val="1"/>
        </w:num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法定代表人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（委托代理人作为签字代表的提供并附法定代表人身份证明）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（姓名、职务）系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 xml:space="preserve"> （供应商名称）的法定代表人，现授权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（姓名、职务）为我方代理人。代理人根据授权，以我方名义签署、澄清、说明、补正、递交、撤回、修改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（项目名称）（政府采购编号：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）投标文件、签订合同和询问、质疑、投诉等有关事宜，其法律后果由我方承担。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委托期限：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。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本授权书于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日签字生效，特此声明。</w:t>
      </w:r>
    </w:p>
    <w:p>
      <w:pPr>
        <w:pStyle w:val="9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color w:val="auto"/>
          <w:szCs w:val="21"/>
          <w:lang w:val="en-US" w:eastAsia="zh-CN" w:bidi="ar-SA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Style w:val="6"/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szCs w:val="24"/>
                <w:lang w:val="en-US" w:eastAsia="zh-CN"/>
              </w:rPr>
              <w:t>委托代理人身份证复印件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附：法定代表人身份证明</w:t>
      </w:r>
    </w:p>
    <w:p>
      <w:pPr>
        <w:pStyle w:val="9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color w:val="auto"/>
          <w:szCs w:val="21"/>
          <w:lang w:val="en-US" w:eastAsia="zh-CN" w:bidi="ar-SA"/>
        </w:rPr>
      </w:pPr>
    </w:p>
    <w:p>
      <w:pPr>
        <w:pStyle w:val="9"/>
        <w:adjustRightInd w:val="0"/>
        <w:snapToGrid w:val="0"/>
        <w:spacing w:line="360" w:lineRule="auto"/>
        <w:ind w:firstLine="480" w:firstLineChars="200"/>
        <w:rPr>
          <w:rStyle w:val="6"/>
          <w:rFonts w:ascii="宋体" w:hAnsi="宋体" w:eastAsia="宋体" w:cs="Times New Roman"/>
          <w:color w:val="auto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供应商名称（盖单位章）：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法定代表人（签字）：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委托代理人（签字）：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lang w:val="en-US" w:eastAsia="zh-CN"/>
        </w:rPr>
        <w:t>日期：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sz w:val="24"/>
          <w:szCs w:val="24"/>
        </w:rPr>
        <w:t>日</w:t>
      </w:r>
    </w:p>
    <w:p>
      <w:pPr>
        <w:adjustRightInd w:val="0"/>
        <w:snapToGrid w:val="0"/>
        <w:spacing w:before="50" w:line="360" w:lineRule="auto"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24"/>
          <w:szCs w:val="24"/>
        </w:rPr>
        <w:t>报价一览表及报价文件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73"/>
        <w:gridCol w:w="6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7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59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563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总报价人民币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大写：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元人民币整</w:t>
            </w:r>
          </w:p>
          <w:p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小写：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</w:rPr>
              <w:t>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人：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联系方式：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82" w:hRule="atLeast"/>
        </w:trPr>
        <w:tc>
          <w:tcPr>
            <w:tcW w:w="477" w:type="pct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9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3563" w:type="pct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88" w:leftChars="-42" w:firstLine="120" w:firstLineChars="5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其它事项说明。具体报价文件附后。</w:t>
            </w:r>
          </w:p>
        </w:tc>
      </w:tr>
    </w:tbl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供应商（盖单位章）：</w:t>
      </w:r>
    </w:p>
    <w:p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法定代表人（或授权代表）签字：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t>日</w:t>
      </w: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DB713"/>
    <w:multiLevelType w:val="singleLevel"/>
    <w:tmpl w:val="FB1DB7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593B"/>
    <w:rsid w:val="12DA3D85"/>
    <w:rsid w:val="19FF9D0B"/>
    <w:rsid w:val="1CB1628E"/>
    <w:rsid w:val="1D9B37C3"/>
    <w:rsid w:val="1FBB92C9"/>
    <w:rsid w:val="34EF070B"/>
    <w:rsid w:val="36DD3D0A"/>
    <w:rsid w:val="37AE9447"/>
    <w:rsid w:val="3B2F07A4"/>
    <w:rsid w:val="3DFB7F3E"/>
    <w:rsid w:val="3EFCA37B"/>
    <w:rsid w:val="3FAF8DB2"/>
    <w:rsid w:val="3FF9B893"/>
    <w:rsid w:val="43C8BFAB"/>
    <w:rsid w:val="5BAFF57E"/>
    <w:rsid w:val="5D7F92DA"/>
    <w:rsid w:val="5E1E84C0"/>
    <w:rsid w:val="5EFFD01A"/>
    <w:rsid w:val="5FB2A3B7"/>
    <w:rsid w:val="61C04037"/>
    <w:rsid w:val="66EB6CC0"/>
    <w:rsid w:val="67DFB167"/>
    <w:rsid w:val="6B7E0CE7"/>
    <w:rsid w:val="6DEE1FE5"/>
    <w:rsid w:val="6F7BBD42"/>
    <w:rsid w:val="6FBF449F"/>
    <w:rsid w:val="70A5E4EF"/>
    <w:rsid w:val="72FF738A"/>
    <w:rsid w:val="73BF24BD"/>
    <w:rsid w:val="75F3E0F6"/>
    <w:rsid w:val="76F84347"/>
    <w:rsid w:val="7BDE6DF8"/>
    <w:rsid w:val="7BDF9536"/>
    <w:rsid w:val="7BF67345"/>
    <w:rsid w:val="7C4DADA8"/>
    <w:rsid w:val="7C66E11F"/>
    <w:rsid w:val="7CB16F01"/>
    <w:rsid w:val="7CCA791D"/>
    <w:rsid w:val="7DFFF708"/>
    <w:rsid w:val="7EE7FF15"/>
    <w:rsid w:val="7EEE0059"/>
    <w:rsid w:val="7EFF3335"/>
    <w:rsid w:val="7F5ECF50"/>
    <w:rsid w:val="7F9B8501"/>
    <w:rsid w:val="7FB45B0B"/>
    <w:rsid w:val="7FBF8904"/>
    <w:rsid w:val="7FF7F53C"/>
    <w:rsid w:val="9FCDFE3B"/>
    <w:rsid w:val="A0FDDEE2"/>
    <w:rsid w:val="A9E3CC8B"/>
    <w:rsid w:val="ABFF7F76"/>
    <w:rsid w:val="AFEB3A4B"/>
    <w:rsid w:val="B2BF3012"/>
    <w:rsid w:val="B9D774F0"/>
    <w:rsid w:val="BDBF971C"/>
    <w:rsid w:val="BDEE95F0"/>
    <w:rsid w:val="BF9F7F7F"/>
    <w:rsid w:val="BFF78490"/>
    <w:rsid w:val="BFFFA7C1"/>
    <w:rsid w:val="CAF680E8"/>
    <w:rsid w:val="DBFA39D0"/>
    <w:rsid w:val="DDC77701"/>
    <w:rsid w:val="DDFB55BA"/>
    <w:rsid w:val="DECD291F"/>
    <w:rsid w:val="DF5B52CD"/>
    <w:rsid w:val="EBF66A12"/>
    <w:rsid w:val="EFAFFAC2"/>
    <w:rsid w:val="F3BF72FD"/>
    <w:rsid w:val="F57F847B"/>
    <w:rsid w:val="F77A1BAE"/>
    <w:rsid w:val="F79C68DB"/>
    <w:rsid w:val="F9D35DD8"/>
    <w:rsid w:val="FA573C83"/>
    <w:rsid w:val="FB9F8660"/>
    <w:rsid w:val="FBE880EB"/>
    <w:rsid w:val="FDFBD6EB"/>
    <w:rsid w:val="FF56BBBA"/>
    <w:rsid w:val="FF6F08F9"/>
    <w:rsid w:val="FF7F2EF2"/>
    <w:rsid w:val="FFB3CF79"/>
    <w:rsid w:val="FFBC6F32"/>
    <w:rsid w:val="FFFF231E"/>
    <w:rsid w:val="FFFF593B"/>
    <w:rsid w:val="FFFFC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customStyle="1" w:styleId="7">
    <w:name w:val="公文正文"/>
    <w:basedOn w:val="1"/>
    <w:qFormat/>
    <w:uiPriority w:val="0"/>
    <w:pPr>
      <w:widowControl/>
      <w:adjustRightInd w:val="0"/>
      <w:snapToGrid w:val="0"/>
      <w:spacing w:line="640" w:lineRule="exact"/>
      <w:ind w:firstLine="200" w:firstLineChars="200"/>
    </w:pPr>
    <w:rPr>
      <w:rFonts w:ascii="Times New Roman" w:hAnsi="Times New Roman" w:eastAsia="方正仿宋_GBK"/>
      <w:color w:val="000000"/>
      <w:sz w:val="36"/>
      <w:szCs w:val="36"/>
    </w:rPr>
  </w:style>
  <w:style w:type="paragraph" w:customStyle="1" w:styleId="8">
    <w:name w:val="公文一级标题"/>
    <w:basedOn w:val="1"/>
    <w:qFormat/>
    <w:uiPriority w:val="0"/>
    <w:pPr>
      <w:widowControl/>
      <w:adjustRightInd w:val="0"/>
      <w:snapToGrid w:val="0"/>
      <w:spacing w:line="640" w:lineRule="exact"/>
      <w:ind w:firstLine="712" w:firstLineChars="200"/>
      <w:jc w:val="left"/>
    </w:pPr>
    <w:rPr>
      <w:rFonts w:ascii="方正黑体_GBK" w:hAnsi="方正黑体_GBK" w:eastAsia="方正黑体_GBK" w:cs="方正黑体_GBK"/>
      <w:color w:val="000000"/>
      <w:sz w:val="36"/>
      <w:szCs w:val="36"/>
    </w:rPr>
  </w:style>
  <w:style w:type="paragraph" w:customStyle="1" w:styleId="9">
    <w:name w:val="Normal_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2321</Words>
  <Characters>2442</Characters>
  <Lines>0</Lines>
  <Paragraphs>0</Paragraphs>
  <TotalTime>50</TotalTime>
  <ScaleCrop>false</ScaleCrop>
  <LinksUpToDate>false</LinksUpToDate>
  <CharactersWithSpaces>3085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2022-07-01T16:42:00Z</dcterms:created>
  <dc:creator>greatwall</dc:creator>
  <cp:lastModifiedBy>greatwall</cp:lastModifiedBy>
  <cp:lastPrinted>2026-04-01T08:54:00Z</cp:lastPrinted>
  <dcterms:modified xsi:type="dcterms:W3CDTF">2026-06-02T16:08:14Z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B56E4FF49A301AF76A48E7694A96F553</vt:lpwstr>
  </property>
  <property fmtid="{D5CDD505-2E9C-101B-9397-08002B2CF9AE}" pid="4" name="KSOTemplateDocerSaveRecord">
    <vt:lpwstr>eyJoZGlkIjoiOTU5YjJkMjE2MTZjNjhjNTM3YTMzMmE0YzU3N2IxNDciLCJ1c2VySWQiOiIzOTM1Mjk3ODEifQ==</vt:lpwstr>
  </property>
</Properties>
</file>