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C8D2A">
      <w:pPr>
        <w:spacing w:line="560" w:lineRule="exact"/>
        <w:jc w:val="center"/>
        <w:rPr>
          <w:rFonts w:hint="eastAsia" w:ascii="方正小标宋简体" w:hAnsi="方正小标宋简体" w:eastAsia="方正小标宋简体" w:cs="方正小标宋简体"/>
          <w:sz w:val="36"/>
          <w:szCs w:val="36"/>
          <w:lang w:bidi="ar"/>
        </w:rPr>
      </w:pPr>
    </w:p>
    <w:p w14:paraId="68719D5E">
      <w:pPr>
        <w:spacing w:line="560" w:lineRule="exact"/>
        <w:jc w:val="center"/>
        <w:rPr>
          <w:rFonts w:hint="eastAsia" w:ascii="方正小标宋简体" w:hAnsi="方正小标宋简体" w:eastAsia="方正小标宋简体" w:cs="方正小标宋简体"/>
          <w:sz w:val="36"/>
          <w:szCs w:val="36"/>
          <w:lang w:bidi="ar"/>
        </w:rPr>
      </w:pPr>
      <w:bookmarkStart w:id="0" w:name="_GoBack"/>
      <w:r>
        <w:rPr>
          <w:rFonts w:hint="eastAsia" w:ascii="方正小标宋简体" w:hAnsi="方正小标宋简体" w:eastAsia="方正小标宋简体" w:cs="方正小标宋简体"/>
          <w:sz w:val="36"/>
          <w:szCs w:val="36"/>
          <w:lang w:bidi="ar"/>
        </w:rPr>
        <w:t>湖南省</w:t>
      </w:r>
      <w:r>
        <w:rPr>
          <w:rFonts w:hint="eastAsia" w:ascii="方正小标宋简体" w:hAnsi="方正小标宋简体" w:eastAsia="方正小标宋简体" w:cs="方正小标宋简体"/>
          <w:sz w:val="36"/>
          <w:szCs w:val="36"/>
          <w:lang w:eastAsia="zh-CN" w:bidi="ar"/>
        </w:rPr>
        <w:t>统计局</w:t>
      </w:r>
      <w:r>
        <w:rPr>
          <w:rFonts w:hint="default" w:ascii="方正小标宋简体" w:hAnsi="方正小标宋简体" w:eastAsia="方正小标宋简体" w:cs="方正小标宋简体"/>
          <w:sz w:val="36"/>
          <w:szCs w:val="36"/>
          <w:lang w:val="en-US" w:eastAsia="zh-CN" w:bidi="ar"/>
        </w:rPr>
        <w:t>信息系统</w:t>
      </w:r>
      <w:r>
        <w:rPr>
          <w:rFonts w:hint="eastAsia" w:ascii="方正小标宋简体" w:hAnsi="方正小标宋简体" w:eastAsia="方正小标宋简体" w:cs="方正小标宋简体"/>
          <w:sz w:val="36"/>
          <w:szCs w:val="36"/>
          <w:lang w:eastAsia="zh-CN" w:bidi="ar"/>
        </w:rPr>
        <w:t>等保</w:t>
      </w:r>
      <w:r>
        <w:rPr>
          <w:rFonts w:hint="eastAsia" w:ascii="方正小标宋简体" w:hAnsi="方正小标宋简体" w:eastAsia="方正小标宋简体" w:cs="方正小标宋简体"/>
          <w:sz w:val="36"/>
          <w:szCs w:val="36"/>
          <w:lang w:bidi="ar"/>
        </w:rPr>
        <w:t>测评服务采购需求</w:t>
      </w:r>
      <w:bookmarkEnd w:id="0"/>
    </w:p>
    <w:p w14:paraId="53A29A45">
      <w:pPr>
        <w:spacing w:line="560" w:lineRule="exact"/>
        <w:jc w:val="center"/>
        <w:rPr>
          <w:rFonts w:hint="eastAsia" w:ascii="方正小标宋简体" w:hAnsi="方正小标宋简体" w:eastAsia="方正小标宋简体" w:cs="方正小标宋简体"/>
          <w:sz w:val="36"/>
          <w:szCs w:val="36"/>
          <w:lang w:bidi="ar"/>
        </w:rPr>
      </w:pPr>
    </w:p>
    <w:p w14:paraId="21EAA826">
      <w:pPr>
        <w:widowControl/>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eastAsia="zh-CN" w:bidi="ar"/>
        </w:rPr>
        <w:t>按照</w:t>
      </w:r>
      <w:r>
        <w:rPr>
          <w:rFonts w:hint="eastAsia" w:ascii="仿宋_GB2312" w:hAnsi="Calibri" w:eastAsia="仿宋_GB2312" w:cs="仿宋_GB2312"/>
          <w:sz w:val="24"/>
          <w:lang w:bidi="ar"/>
        </w:rPr>
        <w:t>采购相关制度规定，</w:t>
      </w:r>
      <w:r>
        <w:rPr>
          <w:rFonts w:hint="default" w:ascii="仿宋_GB2312" w:hAnsi="Calibri" w:eastAsia="仿宋_GB2312" w:cs="仿宋_GB2312"/>
          <w:sz w:val="24"/>
          <w:lang w:val="en" w:bidi="ar"/>
        </w:rPr>
        <w:t>湖南省统计局</w:t>
      </w:r>
      <w:r>
        <w:rPr>
          <w:rFonts w:hint="eastAsia" w:ascii="仿宋_GB2312" w:hAnsi="Calibri" w:eastAsia="仿宋_GB2312" w:cs="仿宋_GB2312"/>
          <w:sz w:val="24"/>
          <w:lang w:val="en" w:eastAsia="zh-CN" w:bidi="ar"/>
        </w:rPr>
        <w:t>对</w:t>
      </w:r>
      <w:r>
        <w:rPr>
          <w:rFonts w:hint="default" w:ascii="Times New Roman" w:hAnsi="Times New Roman" w:eastAsia="仿宋_GB2312" w:cs="Times New Roman"/>
          <w:i w:val="0"/>
          <w:iCs w:val="0"/>
          <w:color w:val="000000"/>
          <w:kern w:val="0"/>
          <w:sz w:val="24"/>
          <w:szCs w:val="24"/>
          <w:u w:val="none"/>
          <w:lang w:val="en-US" w:eastAsia="zh-CN" w:bidi="ar"/>
        </w:rPr>
        <w:t>电子邮件服务系统、统计执法监督系统、湖南省统计联网直报数据质量监管平台</w:t>
      </w:r>
      <w:r>
        <w:rPr>
          <w:rFonts w:hint="eastAsia" w:eastAsia="仿宋_GB2312" w:cs="Times New Roman"/>
          <w:i w:val="0"/>
          <w:iCs w:val="0"/>
          <w:color w:val="000000"/>
          <w:kern w:val="0"/>
          <w:sz w:val="24"/>
          <w:szCs w:val="24"/>
          <w:u w:val="none"/>
          <w:lang w:val="en-US" w:eastAsia="zh-CN" w:bidi="ar"/>
        </w:rPr>
        <w:t>系统开展</w:t>
      </w:r>
      <w:r>
        <w:rPr>
          <w:rFonts w:hint="eastAsia" w:ascii="仿宋_GB2312" w:hAnsi="Calibri" w:eastAsia="仿宋_GB2312" w:cs="仿宋_GB2312"/>
          <w:sz w:val="24"/>
          <w:lang w:bidi="ar"/>
        </w:rPr>
        <w:t>等保测评，拟采购</w:t>
      </w:r>
      <w:r>
        <w:rPr>
          <w:rFonts w:hint="eastAsia" w:ascii="仿宋_GB2312" w:hAnsi="Calibri" w:eastAsia="仿宋_GB2312" w:cs="仿宋_GB2312"/>
          <w:sz w:val="24"/>
          <w:lang w:eastAsia="zh-CN" w:bidi="ar"/>
        </w:rPr>
        <w:t>信息系统等保测评服务</w:t>
      </w:r>
      <w:r>
        <w:rPr>
          <w:rFonts w:hint="eastAsia" w:ascii="仿宋_GB2312" w:hAnsi="Calibri" w:eastAsia="仿宋_GB2312" w:cs="仿宋_GB2312"/>
          <w:sz w:val="24"/>
          <w:lang w:bidi="ar"/>
        </w:rPr>
        <w:t>。</w:t>
      </w:r>
    </w:p>
    <w:p w14:paraId="639E2BC3">
      <w:pPr>
        <w:widowControl/>
        <w:spacing w:line="400" w:lineRule="exact"/>
        <w:ind w:firstLine="482" w:firstLineChars="200"/>
        <w:rPr>
          <w:rFonts w:hint="eastAsia" w:ascii="黑体" w:hAnsi="宋体" w:eastAsia="黑体" w:cs="黑体"/>
          <w:b/>
          <w:bCs/>
          <w:sz w:val="24"/>
        </w:rPr>
      </w:pPr>
      <w:r>
        <w:rPr>
          <w:rFonts w:hint="eastAsia" w:ascii="黑体" w:hAnsi="宋体" w:eastAsia="黑体" w:cs="黑体"/>
          <w:b/>
          <w:bCs/>
          <w:sz w:val="24"/>
          <w:lang w:bidi="ar"/>
        </w:rPr>
        <w:t>一、采购项目基本概况</w:t>
      </w:r>
    </w:p>
    <w:p w14:paraId="41C42294">
      <w:pPr>
        <w:widowControl/>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bidi="ar"/>
        </w:rPr>
        <w:t>1.采购项目名称：</w:t>
      </w:r>
      <w:r>
        <w:rPr>
          <w:rFonts w:hint="default" w:ascii="Times New Roman" w:hAnsi="Times New Roman" w:eastAsia="仿宋_GB2312" w:cs="Times New Roman"/>
          <w:i w:val="0"/>
          <w:iCs w:val="0"/>
          <w:color w:val="000000"/>
          <w:kern w:val="0"/>
          <w:sz w:val="24"/>
          <w:szCs w:val="24"/>
          <w:u w:val="none"/>
          <w:lang w:val="en-US" w:eastAsia="zh-CN" w:bidi="ar"/>
        </w:rPr>
        <w:t>湖南省统计局信息系统等保测评服务</w:t>
      </w:r>
      <w:r>
        <w:rPr>
          <w:rFonts w:hint="eastAsia" w:ascii="仿宋_GB2312" w:hAnsi="Calibri" w:eastAsia="仿宋_GB2312" w:cs="仿宋_GB2312"/>
          <w:sz w:val="24"/>
          <w:lang w:bidi="ar"/>
        </w:rPr>
        <w:t>。</w:t>
      </w:r>
    </w:p>
    <w:p w14:paraId="7B5799F1">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2.采购项目标的、数量及预算：</w:t>
      </w:r>
    </w:p>
    <w:tbl>
      <w:tblPr>
        <w:tblStyle w:val="5"/>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384"/>
        <w:gridCol w:w="3169"/>
        <w:gridCol w:w="2410"/>
        <w:gridCol w:w="1559"/>
      </w:tblGrid>
      <w:tr w14:paraId="64F880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8" w:hRule="atLeast"/>
          <w:jc w:val="center"/>
        </w:trPr>
        <w:tc>
          <w:tcPr>
            <w:tcW w:w="1384" w:type="dxa"/>
            <w:tcBorders>
              <w:top w:val="single" w:color="auto" w:sz="2" w:space="0"/>
              <w:left w:val="single" w:color="auto" w:sz="2" w:space="0"/>
              <w:bottom w:val="single" w:color="auto" w:sz="2" w:space="0"/>
              <w:right w:val="single" w:color="auto" w:sz="2" w:space="0"/>
            </w:tcBorders>
            <w:noWrap w:val="0"/>
            <w:vAlign w:val="center"/>
          </w:tcPr>
          <w:p w14:paraId="5844EFD1">
            <w:pPr>
              <w:widowControl/>
              <w:jc w:val="center"/>
              <w:textAlignment w:val="center"/>
              <w:rPr>
                <w:rFonts w:hint="eastAsia" w:ascii="仿宋_GB2312" w:eastAsia="仿宋_GB2312" w:cs="仿宋_GB2312"/>
                <w:sz w:val="24"/>
                <w:szCs w:val="24"/>
                <w:lang w:val="en-US" w:eastAsia="zh-CN" w:bidi="ar"/>
              </w:rPr>
            </w:pPr>
            <w:r>
              <w:rPr>
                <w:rFonts w:hint="eastAsia" w:ascii="仿宋_GB2312" w:eastAsia="仿宋_GB2312" w:cs="仿宋_GB2312"/>
                <w:sz w:val="24"/>
                <w:szCs w:val="24"/>
                <w:lang w:val="en-US" w:eastAsia="zh-CN" w:bidi="ar"/>
              </w:rPr>
              <w:t>包/品目号</w:t>
            </w:r>
          </w:p>
        </w:tc>
        <w:tc>
          <w:tcPr>
            <w:tcW w:w="0" w:type="auto"/>
            <w:tcBorders>
              <w:top w:val="single" w:color="auto" w:sz="2" w:space="0"/>
              <w:left w:val="single" w:color="auto" w:sz="2" w:space="0"/>
              <w:bottom w:val="single" w:color="auto" w:sz="2" w:space="0"/>
              <w:right w:val="single" w:color="auto" w:sz="2" w:space="0"/>
            </w:tcBorders>
            <w:noWrap w:val="0"/>
            <w:vAlign w:val="center"/>
          </w:tcPr>
          <w:p w14:paraId="56973E44">
            <w:pPr>
              <w:widowControl/>
              <w:jc w:val="center"/>
              <w:textAlignment w:val="center"/>
              <w:rPr>
                <w:rFonts w:hint="eastAsia" w:ascii="仿宋_GB2312" w:eastAsia="仿宋_GB2312" w:cs="仿宋_GB2312"/>
                <w:sz w:val="24"/>
                <w:szCs w:val="24"/>
                <w:lang w:val="en-US" w:eastAsia="zh-CN" w:bidi="ar"/>
              </w:rPr>
            </w:pPr>
            <w:r>
              <w:rPr>
                <w:rFonts w:hint="eastAsia" w:ascii="仿宋_GB2312" w:eastAsia="仿宋_GB2312" w:cs="仿宋_GB2312"/>
                <w:sz w:val="24"/>
                <w:szCs w:val="24"/>
                <w:lang w:val="en-US" w:eastAsia="zh-CN" w:bidi="ar"/>
              </w:rPr>
              <w:t>标的名称</w:t>
            </w:r>
          </w:p>
        </w:tc>
        <w:tc>
          <w:tcPr>
            <w:tcW w:w="2410" w:type="dxa"/>
            <w:tcBorders>
              <w:top w:val="single" w:color="auto" w:sz="2" w:space="0"/>
              <w:left w:val="single" w:color="auto" w:sz="2" w:space="0"/>
              <w:bottom w:val="single" w:color="auto" w:sz="2" w:space="0"/>
              <w:right w:val="single" w:color="auto" w:sz="2" w:space="0"/>
            </w:tcBorders>
            <w:noWrap w:val="0"/>
            <w:vAlign w:val="center"/>
          </w:tcPr>
          <w:p w14:paraId="40F79C32">
            <w:pPr>
              <w:jc w:val="center"/>
              <w:rPr>
                <w:rFonts w:hint="eastAsia" w:ascii="仿宋_GB2312" w:eastAsia="仿宋_GB2312" w:cs="仿宋_GB2312"/>
                <w:sz w:val="24"/>
                <w:szCs w:val="24"/>
                <w:lang w:val="en-US" w:eastAsia="zh-CN" w:bidi="ar"/>
              </w:rPr>
            </w:pPr>
            <w:r>
              <w:rPr>
                <w:rFonts w:hint="eastAsia" w:ascii="仿宋_GB2312" w:hAnsi="仿宋_GB2312" w:eastAsia="仿宋_GB2312" w:cs="仿宋_GB2312"/>
                <w:sz w:val="24"/>
                <w:szCs w:val="24"/>
                <w:lang w:val="en-US" w:eastAsia="zh-CN"/>
              </w:rPr>
              <w:t>预算（万元）</w:t>
            </w:r>
          </w:p>
        </w:tc>
        <w:tc>
          <w:tcPr>
            <w:tcW w:w="1559" w:type="dxa"/>
            <w:tcBorders>
              <w:top w:val="single" w:color="auto" w:sz="2" w:space="0"/>
              <w:left w:val="single" w:color="auto" w:sz="2" w:space="0"/>
              <w:bottom w:val="single" w:color="auto" w:sz="2" w:space="0"/>
              <w:right w:val="single" w:color="auto" w:sz="2" w:space="0"/>
            </w:tcBorders>
            <w:noWrap w:val="0"/>
            <w:vAlign w:val="center"/>
          </w:tcPr>
          <w:p w14:paraId="386143CB">
            <w:pPr>
              <w:jc w:val="center"/>
              <w:rPr>
                <w:rFonts w:hint="eastAsia" w:ascii="仿宋_GB2312" w:eastAsia="仿宋_GB2312" w:cs="仿宋_GB2312"/>
                <w:sz w:val="24"/>
                <w:szCs w:val="24"/>
                <w:lang w:val="en-US" w:eastAsia="zh-CN" w:bidi="ar"/>
              </w:rPr>
            </w:pPr>
            <w:r>
              <w:rPr>
                <w:rFonts w:hint="eastAsia" w:ascii="仿宋_GB2312" w:hAnsi="仿宋_GB2312" w:eastAsia="仿宋_GB2312" w:cs="仿宋_GB2312"/>
                <w:sz w:val="24"/>
                <w:szCs w:val="24"/>
                <w:lang w:eastAsia="zh-CN"/>
              </w:rPr>
              <w:t>系统等级</w:t>
            </w:r>
          </w:p>
        </w:tc>
      </w:tr>
      <w:tr w14:paraId="641784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1384" w:type="dxa"/>
            <w:tcBorders>
              <w:top w:val="single" w:color="auto" w:sz="2" w:space="0"/>
              <w:left w:val="single" w:color="auto" w:sz="2" w:space="0"/>
              <w:bottom w:val="single" w:color="auto" w:sz="2" w:space="0"/>
              <w:right w:val="single" w:color="auto" w:sz="2" w:space="0"/>
            </w:tcBorders>
            <w:noWrap w:val="0"/>
            <w:vAlign w:val="center"/>
          </w:tcPr>
          <w:p w14:paraId="33387229">
            <w:pPr>
              <w:widowControl/>
              <w:jc w:val="center"/>
              <w:textAlignment w:val="center"/>
              <w:rPr>
                <w:rFonts w:hint="eastAsia" w:ascii="仿宋_GB2312" w:eastAsia="仿宋_GB2312" w:cs="仿宋_GB2312"/>
                <w:sz w:val="24"/>
                <w:szCs w:val="24"/>
                <w:lang w:val="en-US" w:eastAsia="zh-CN" w:bidi="ar"/>
              </w:rPr>
            </w:pPr>
            <w:r>
              <w:rPr>
                <w:rFonts w:hint="eastAsia" w:ascii="仿宋_GB2312" w:eastAsia="仿宋_GB2312" w:cs="仿宋_GB2312"/>
                <w:sz w:val="24"/>
                <w:szCs w:val="24"/>
                <w:lang w:val="en-US" w:eastAsia="zh-CN" w:bidi="ar"/>
              </w:rPr>
              <w:t>1</w:t>
            </w:r>
          </w:p>
        </w:tc>
        <w:tc>
          <w:tcPr>
            <w:tcW w:w="3169" w:type="dxa"/>
            <w:tcBorders>
              <w:top w:val="single" w:color="auto" w:sz="2" w:space="0"/>
              <w:left w:val="single" w:color="auto" w:sz="2" w:space="0"/>
              <w:bottom w:val="single" w:color="auto" w:sz="2" w:space="0"/>
              <w:right w:val="single" w:color="auto" w:sz="2" w:space="0"/>
            </w:tcBorders>
            <w:noWrap w:val="0"/>
            <w:vAlign w:val="center"/>
          </w:tcPr>
          <w:p w14:paraId="55B00CF5">
            <w:pPr>
              <w:keepNext w:val="0"/>
              <w:keepLines w:val="0"/>
              <w:widowControl/>
              <w:suppressLineNumbers w:val="0"/>
              <w:jc w:val="center"/>
              <w:textAlignment w:val="center"/>
              <w:rPr>
                <w:rFonts w:hint="eastAsia" w:ascii="仿宋_GB2312" w:eastAsia="仿宋_GB2312" w:cs="仿宋_GB2312"/>
                <w:sz w:val="24"/>
                <w:szCs w:val="24"/>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电子邮件服务系统</w:t>
            </w:r>
          </w:p>
        </w:tc>
        <w:tc>
          <w:tcPr>
            <w:tcW w:w="2410" w:type="dxa"/>
            <w:tcBorders>
              <w:top w:val="single" w:color="auto" w:sz="2" w:space="0"/>
              <w:left w:val="single" w:color="auto" w:sz="2" w:space="0"/>
              <w:bottom w:val="single" w:color="auto" w:sz="2" w:space="0"/>
              <w:right w:val="single" w:color="auto" w:sz="2" w:space="0"/>
            </w:tcBorders>
            <w:noWrap w:val="0"/>
            <w:vAlign w:val="center"/>
          </w:tcPr>
          <w:p w14:paraId="23D9A9FC">
            <w:pPr>
              <w:widowControl/>
              <w:jc w:val="center"/>
              <w:textAlignment w:val="center"/>
              <w:rPr>
                <w:rFonts w:hint="eastAsia" w:ascii="仿宋_GB2312" w:eastAsia="仿宋_GB2312" w:cs="仿宋_GB2312"/>
                <w:sz w:val="24"/>
                <w:szCs w:val="24"/>
                <w:lang w:val="en-US" w:eastAsia="zh-CN" w:bidi="ar"/>
              </w:rPr>
            </w:pPr>
            <w:r>
              <w:rPr>
                <w:rFonts w:hint="eastAsia" w:ascii="仿宋_GB2312" w:eastAsia="仿宋_GB2312" w:cs="仿宋_GB2312"/>
                <w:sz w:val="24"/>
                <w:szCs w:val="24"/>
                <w:lang w:val="en-US" w:eastAsia="zh-CN" w:bidi="ar"/>
              </w:rPr>
              <w:t>5</w:t>
            </w:r>
          </w:p>
        </w:tc>
        <w:tc>
          <w:tcPr>
            <w:tcW w:w="1559" w:type="dxa"/>
            <w:tcBorders>
              <w:top w:val="single" w:color="auto" w:sz="2" w:space="0"/>
              <w:left w:val="single" w:color="auto" w:sz="2" w:space="0"/>
              <w:bottom w:val="single" w:color="auto" w:sz="2" w:space="0"/>
              <w:right w:val="single" w:color="auto" w:sz="2" w:space="0"/>
            </w:tcBorders>
            <w:noWrap w:val="0"/>
            <w:vAlign w:val="center"/>
          </w:tcPr>
          <w:p w14:paraId="38FA5A4F">
            <w:pPr>
              <w:widowControl/>
              <w:jc w:val="center"/>
              <w:textAlignment w:val="center"/>
              <w:rPr>
                <w:rFonts w:hint="eastAsia" w:ascii="仿宋_GB2312" w:eastAsia="仿宋_GB2312" w:cs="仿宋_GB2312"/>
                <w:sz w:val="24"/>
                <w:szCs w:val="24"/>
                <w:lang w:val="en-US" w:eastAsia="zh-CN" w:bidi="ar"/>
              </w:rPr>
            </w:pPr>
            <w:r>
              <w:rPr>
                <w:rFonts w:hint="eastAsia" w:ascii="仿宋_GB2312" w:eastAsia="仿宋_GB2312" w:cs="仿宋_GB2312"/>
                <w:sz w:val="24"/>
                <w:szCs w:val="24"/>
                <w:lang w:val="en-US" w:eastAsia="zh-CN" w:bidi="ar"/>
              </w:rPr>
              <w:t>二级</w:t>
            </w:r>
          </w:p>
        </w:tc>
      </w:tr>
      <w:tr w14:paraId="11B693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1384" w:type="dxa"/>
            <w:tcBorders>
              <w:top w:val="single" w:color="auto" w:sz="2" w:space="0"/>
              <w:left w:val="single" w:color="auto" w:sz="2" w:space="0"/>
              <w:bottom w:val="single" w:color="auto" w:sz="2" w:space="0"/>
              <w:right w:val="single" w:color="auto" w:sz="2" w:space="0"/>
            </w:tcBorders>
            <w:noWrap w:val="0"/>
            <w:vAlign w:val="center"/>
          </w:tcPr>
          <w:p w14:paraId="6E61EDAC">
            <w:pPr>
              <w:widowControl/>
              <w:jc w:val="center"/>
              <w:textAlignment w:val="center"/>
              <w:rPr>
                <w:rFonts w:hint="default" w:ascii="仿宋_GB2312" w:eastAsia="仿宋_GB2312" w:cs="仿宋_GB2312"/>
                <w:sz w:val="24"/>
                <w:szCs w:val="24"/>
                <w:lang w:val="en-US" w:eastAsia="zh-CN" w:bidi="ar"/>
              </w:rPr>
            </w:pPr>
            <w:r>
              <w:rPr>
                <w:rFonts w:hint="eastAsia" w:ascii="仿宋_GB2312" w:eastAsia="仿宋_GB2312" w:cs="仿宋_GB2312"/>
                <w:sz w:val="24"/>
                <w:szCs w:val="24"/>
                <w:lang w:val="en-US" w:eastAsia="zh-CN" w:bidi="ar"/>
              </w:rPr>
              <w:t>2</w:t>
            </w:r>
          </w:p>
        </w:tc>
        <w:tc>
          <w:tcPr>
            <w:tcW w:w="3169" w:type="dxa"/>
            <w:tcBorders>
              <w:top w:val="single" w:color="auto" w:sz="2" w:space="0"/>
              <w:left w:val="single" w:color="auto" w:sz="2" w:space="0"/>
              <w:bottom w:val="single" w:color="auto" w:sz="2" w:space="0"/>
              <w:right w:val="single" w:color="auto" w:sz="2" w:space="0"/>
            </w:tcBorders>
            <w:noWrap w:val="0"/>
            <w:vAlign w:val="center"/>
          </w:tcPr>
          <w:p w14:paraId="7B166B8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统计执法监督系统</w:t>
            </w:r>
          </w:p>
        </w:tc>
        <w:tc>
          <w:tcPr>
            <w:tcW w:w="2410" w:type="dxa"/>
            <w:tcBorders>
              <w:top w:val="single" w:color="auto" w:sz="2" w:space="0"/>
              <w:left w:val="single" w:color="auto" w:sz="2" w:space="0"/>
              <w:bottom w:val="single" w:color="auto" w:sz="2" w:space="0"/>
              <w:right w:val="single" w:color="auto" w:sz="2" w:space="0"/>
            </w:tcBorders>
            <w:noWrap w:val="0"/>
            <w:vAlign w:val="center"/>
          </w:tcPr>
          <w:p w14:paraId="5E3AB673">
            <w:pPr>
              <w:widowControl/>
              <w:jc w:val="center"/>
              <w:textAlignment w:val="center"/>
              <w:rPr>
                <w:rFonts w:hint="eastAsia" w:ascii="仿宋_GB2312" w:eastAsia="仿宋_GB2312" w:cs="仿宋_GB2312"/>
                <w:sz w:val="24"/>
                <w:szCs w:val="24"/>
                <w:lang w:val="en-US" w:eastAsia="zh-CN" w:bidi="ar"/>
              </w:rPr>
            </w:pPr>
            <w:r>
              <w:rPr>
                <w:rFonts w:hint="eastAsia" w:ascii="仿宋_GB2312" w:eastAsia="仿宋_GB2312" w:cs="仿宋_GB2312"/>
                <w:sz w:val="24"/>
                <w:szCs w:val="24"/>
                <w:lang w:val="en-US" w:eastAsia="zh-CN" w:bidi="ar"/>
              </w:rPr>
              <w:t>5</w:t>
            </w:r>
          </w:p>
        </w:tc>
        <w:tc>
          <w:tcPr>
            <w:tcW w:w="1559" w:type="dxa"/>
            <w:tcBorders>
              <w:top w:val="single" w:color="auto" w:sz="2" w:space="0"/>
              <w:left w:val="single" w:color="auto" w:sz="2" w:space="0"/>
              <w:bottom w:val="single" w:color="auto" w:sz="2" w:space="0"/>
              <w:right w:val="single" w:color="auto" w:sz="2" w:space="0"/>
            </w:tcBorders>
            <w:noWrap w:val="0"/>
            <w:vAlign w:val="center"/>
          </w:tcPr>
          <w:p w14:paraId="03991414">
            <w:pPr>
              <w:widowControl/>
              <w:jc w:val="center"/>
              <w:textAlignment w:val="center"/>
              <w:rPr>
                <w:rFonts w:hint="eastAsia" w:ascii="仿宋_GB2312" w:eastAsia="仿宋_GB2312" w:cs="仿宋_GB2312"/>
                <w:sz w:val="24"/>
                <w:szCs w:val="24"/>
                <w:lang w:val="en-US" w:eastAsia="zh-CN" w:bidi="ar"/>
              </w:rPr>
            </w:pPr>
            <w:r>
              <w:rPr>
                <w:rFonts w:hint="eastAsia" w:ascii="仿宋_GB2312" w:eastAsia="仿宋_GB2312" w:cs="仿宋_GB2312"/>
                <w:sz w:val="24"/>
                <w:szCs w:val="24"/>
                <w:lang w:val="en-US" w:eastAsia="zh-CN" w:bidi="ar"/>
              </w:rPr>
              <w:t>二级</w:t>
            </w:r>
          </w:p>
        </w:tc>
      </w:tr>
      <w:tr w14:paraId="7CF6F1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1384" w:type="dxa"/>
            <w:tcBorders>
              <w:top w:val="single" w:color="auto" w:sz="2" w:space="0"/>
              <w:left w:val="single" w:color="auto" w:sz="2" w:space="0"/>
              <w:bottom w:val="single" w:color="auto" w:sz="2" w:space="0"/>
              <w:right w:val="single" w:color="auto" w:sz="2" w:space="0"/>
            </w:tcBorders>
            <w:noWrap w:val="0"/>
            <w:vAlign w:val="center"/>
          </w:tcPr>
          <w:p w14:paraId="67064AA8">
            <w:pPr>
              <w:jc w:val="center"/>
              <w:rPr>
                <w:rFonts w:hint="default" w:ascii="仿宋_GB2312" w:eastAsia="仿宋_GB2312" w:cs="仿宋_GB2312"/>
                <w:sz w:val="24"/>
                <w:szCs w:val="24"/>
                <w:lang w:val="en-US" w:eastAsia="zh-CN" w:bidi="ar"/>
              </w:rPr>
            </w:pPr>
            <w:r>
              <w:rPr>
                <w:rFonts w:hint="default" w:ascii="仿宋_GB2312" w:hAnsi="仿宋_GB2312" w:eastAsia="仿宋_GB2312" w:cs="仿宋_GB2312"/>
                <w:sz w:val="24"/>
                <w:szCs w:val="24"/>
                <w:lang w:val="en-US" w:eastAsia="zh-CN"/>
              </w:rPr>
              <w:t>3</w:t>
            </w:r>
          </w:p>
        </w:tc>
        <w:tc>
          <w:tcPr>
            <w:tcW w:w="3169" w:type="dxa"/>
            <w:tcBorders>
              <w:top w:val="single" w:color="auto" w:sz="2" w:space="0"/>
              <w:left w:val="single" w:color="auto" w:sz="2" w:space="0"/>
              <w:bottom w:val="single" w:color="auto" w:sz="2" w:space="0"/>
              <w:right w:val="single" w:color="auto" w:sz="2" w:space="0"/>
            </w:tcBorders>
            <w:noWrap w:val="0"/>
            <w:vAlign w:val="center"/>
          </w:tcPr>
          <w:p w14:paraId="1EDDACB2">
            <w:pPr>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仿宋_GB2312" w:eastAsia="仿宋_GB2312" w:cs="仿宋_GB2312"/>
                <w:sz w:val="24"/>
                <w:szCs w:val="24"/>
                <w:lang w:val="en-US" w:eastAsia="zh-CN"/>
              </w:rPr>
              <w:t>湖南省统计联网直报数据质量监管平台</w:t>
            </w:r>
          </w:p>
        </w:tc>
        <w:tc>
          <w:tcPr>
            <w:tcW w:w="2410" w:type="dxa"/>
            <w:tcBorders>
              <w:top w:val="single" w:color="auto" w:sz="2" w:space="0"/>
              <w:left w:val="single" w:color="auto" w:sz="2" w:space="0"/>
              <w:bottom w:val="single" w:color="auto" w:sz="2" w:space="0"/>
              <w:right w:val="single" w:color="auto" w:sz="2" w:space="0"/>
            </w:tcBorders>
            <w:noWrap w:val="0"/>
            <w:vAlign w:val="center"/>
          </w:tcPr>
          <w:p w14:paraId="7DE0E853">
            <w:pPr>
              <w:jc w:val="center"/>
              <w:rPr>
                <w:rFonts w:hint="eastAsia" w:ascii="仿宋_GB2312" w:eastAsia="仿宋_GB2312" w:cs="仿宋_GB2312"/>
                <w:sz w:val="24"/>
                <w:szCs w:val="24"/>
                <w:lang w:val="en-US" w:eastAsia="zh-CN" w:bidi="ar"/>
              </w:rPr>
            </w:pPr>
            <w:r>
              <w:rPr>
                <w:rFonts w:hint="eastAsia" w:ascii="仿宋_GB2312" w:hAnsi="仿宋_GB2312" w:eastAsia="仿宋_GB2312" w:cs="仿宋_GB2312"/>
                <w:sz w:val="24"/>
                <w:szCs w:val="24"/>
                <w:lang w:val="en-US" w:eastAsia="zh-CN"/>
              </w:rPr>
              <w:t>8</w:t>
            </w:r>
          </w:p>
        </w:tc>
        <w:tc>
          <w:tcPr>
            <w:tcW w:w="1559" w:type="dxa"/>
            <w:tcBorders>
              <w:top w:val="single" w:color="auto" w:sz="2" w:space="0"/>
              <w:left w:val="single" w:color="auto" w:sz="2" w:space="0"/>
              <w:bottom w:val="single" w:color="auto" w:sz="2" w:space="0"/>
              <w:right w:val="single" w:color="auto" w:sz="2" w:space="0"/>
            </w:tcBorders>
            <w:noWrap w:val="0"/>
            <w:vAlign w:val="center"/>
          </w:tcPr>
          <w:p w14:paraId="55097129">
            <w:pPr>
              <w:jc w:val="center"/>
              <w:rPr>
                <w:rFonts w:hint="eastAsia" w:ascii="仿宋_GB2312" w:eastAsia="仿宋_GB2312" w:cs="仿宋_GB2312"/>
                <w:sz w:val="24"/>
                <w:szCs w:val="24"/>
                <w:lang w:val="en-US" w:eastAsia="zh-CN" w:bidi="ar"/>
              </w:rPr>
            </w:pP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级</w:t>
            </w:r>
          </w:p>
        </w:tc>
      </w:tr>
    </w:tbl>
    <w:p w14:paraId="4331209C">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3.采购项目的主要需求：依据网络安全等级保护基本要求、测评要求、测评过程指南等标准和公安部的安全等级保护工作要求，对</w:t>
      </w:r>
      <w:r>
        <w:rPr>
          <w:rFonts w:hint="default" w:ascii="仿宋_GB2312" w:eastAsia="仿宋_GB2312" w:cs="仿宋_GB2312"/>
          <w:sz w:val="24"/>
          <w:lang w:val="en-US" w:eastAsia="zh-CN" w:bidi="ar"/>
        </w:rPr>
        <w:t>3</w:t>
      </w:r>
      <w:r>
        <w:rPr>
          <w:rFonts w:hint="eastAsia" w:ascii="仿宋_GB2312" w:hAnsi="Calibri" w:eastAsia="仿宋_GB2312" w:cs="仿宋_GB2312"/>
          <w:sz w:val="24"/>
          <w:lang w:bidi="ar"/>
        </w:rPr>
        <w:t>个系统进行等级保护</w:t>
      </w:r>
      <w:r>
        <w:rPr>
          <w:rFonts w:hint="eastAsia" w:ascii="仿宋_GB2312" w:eastAsia="仿宋_GB2312" w:cs="仿宋_GB2312"/>
          <w:sz w:val="24"/>
          <w:lang w:val="en-US" w:eastAsia="zh-CN" w:bidi="ar"/>
        </w:rPr>
        <w:t>测评</w:t>
      </w:r>
      <w:r>
        <w:rPr>
          <w:rFonts w:hint="eastAsia" w:ascii="仿宋_GB2312" w:hAnsi="Calibri" w:eastAsia="仿宋_GB2312" w:cs="仿宋_GB2312"/>
          <w:sz w:val="24"/>
          <w:lang w:bidi="ar"/>
        </w:rPr>
        <w:t>，出具《信息系统安全等级保护测评报告》。</w:t>
      </w:r>
    </w:p>
    <w:p w14:paraId="60797660">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测评内容应包括但不限于以下内容：</w:t>
      </w:r>
    </w:p>
    <w:p w14:paraId="6C5E82D7">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（1）安全技术测评：包括安全物理环境、安全通信网络、安全区域边界、安全计算环境（网络设备和安全设备安全、服务器和终端安全、应用安全和数据安全）、安全管理中心等方面的安全测评；</w:t>
      </w:r>
    </w:p>
    <w:p w14:paraId="092A206F">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 xml:space="preserve">（2）安全管理测评：安全管理机构与人员安全管理、安全管理制度、系统建设管理和系统运维管理等方面的安全测评； </w:t>
      </w:r>
    </w:p>
    <w:p w14:paraId="67C96CEA">
      <w:pPr>
        <w:widowControl/>
        <w:spacing w:line="400" w:lineRule="exact"/>
        <w:ind w:firstLine="480" w:firstLineChars="200"/>
        <w:rPr>
          <w:rFonts w:hint="eastAsia" w:ascii="黑体" w:hAnsi="宋体" w:eastAsia="黑体" w:cs="黑体"/>
          <w:bCs/>
          <w:sz w:val="24"/>
          <w:lang w:bidi="ar"/>
        </w:rPr>
      </w:pPr>
      <w:r>
        <w:rPr>
          <w:rFonts w:hint="eastAsia" w:ascii="仿宋_GB2312" w:hAnsi="Calibri" w:eastAsia="仿宋_GB2312" w:cs="仿宋_GB2312"/>
          <w:sz w:val="24"/>
          <w:lang w:bidi="ar"/>
        </w:rPr>
        <w:t xml:space="preserve">（3）系统整体测评：控制间测评、层面间测评、区域间测评、系统结构安全测评。 </w:t>
      </w:r>
    </w:p>
    <w:p w14:paraId="2D53D5E5">
      <w:pPr>
        <w:spacing w:line="400" w:lineRule="exact"/>
        <w:ind w:firstLine="482" w:firstLineChars="200"/>
        <w:rPr>
          <w:rFonts w:hint="eastAsia" w:ascii="黑体" w:hAnsi="宋体" w:eastAsia="黑体" w:cs="黑体"/>
          <w:b/>
          <w:bCs w:val="0"/>
          <w:sz w:val="24"/>
        </w:rPr>
      </w:pPr>
      <w:r>
        <w:rPr>
          <w:rFonts w:hint="eastAsia" w:ascii="黑体" w:hAnsi="宋体" w:eastAsia="黑体" w:cs="黑体"/>
          <w:b/>
          <w:bCs w:val="0"/>
          <w:sz w:val="24"/>
          <w:lang w:bidi="ar"/>
        </w:rPr>
        <w:t>二、项目要求</w:t>
      </w:r>
    </w:p>
    <w:p w14:paraId="0098C152">
      <w:pPr>
        <w:widowControl/>
        <w:spacing w:line="400" w:lineRule="exact"/>
        <w:ind w:firstLine="482" w:firstLineChars="200"/>
        <w:rPr>
          <w:rFonts w:hint="eastAsia" w:ascii="楷体" w:hAnsi="楷体" w:eastAsia="楷体" w:cs="楷体"/>
          <w:b/>
          <w:bCs/>
          <w:sz w:val="24"/>
          <w:lang w:bidi="ar"/>
        </w:rPr>
      </w:pPr>
      <w:r>
        <w:rPr>
          <w:rFonts w:hint="eastAsia" w:ascii="楷体" w:hAnsi="楷体" w:eastAsia="楷体" w:cs="楷体"/>
          <w:b/>
          <w:bCs/>
          <w:sz w:val="24"/>
          <w:lang w:bidi="ar"/>
        </w:rPr>
        <w:t>（一）服务内容要求</w:t>
      </w:r>
    </w:p>
    <w:p w14:paraId="2F3AD1BB">
      <w:pPr>
        <w:widowControl/>
        <w:spacing w:line="400" w:lineRule="exact"/>
        <w:ind w:firstLine="480" w:firstLineChars="200"/>
        <w:rPr>
          <w:rFonts w:hint="eastAsia" w:ascii="仿宋_GB2312" w:hAnsi="Calibri" w:eastAsia="仿宋_GB2312" w:cs="仿宋_GB2312"/>
          <w:sz w:val="24"/>
          <w:lang w:val="en-US" w:eastAsia="zh-CN" w:bidi="ar"/>
        </w:rPr>
      </w:pPr>
      <w:r>
        <w:rPr>
          <w:rFonts w:hint="eastAsia" w:ascii="仿宋_GB2312" w:hAnsi="Calibri" w:eastAsia="仿宋_GB2312" w:cs="仿宋_GB2312"/>
          <w:sz w:val="24"/>
          <w:lang w:val="en-US" w:eastAsia="zh-CN" w:bidi="ar"/>
        </w:rPr>
        <w:t>依据《信息安全技术-网络安全等级保护基本要求</w:t>
      </w:r>
      <w:r>
        <w:rPr>
          <w:rFonts w:hint="eastAsia" w:ascii="仿宋_GB2312" w:hAnsi="Calibri" w:eastAsia="仿宋_GB2312" w:cs="仿宋_GB2312"/>
          <w:sz w:val="24"/>
          <w:lang w:val="zh-TW" w:eastAsia="zh-TW" w:bidi="ar"/>
        </w:rPr>
        <w:t>》</w:t>
      </w:r>
      <w:r>
        <w:rPr>
          <w:rFonts w:hint="eastAsia" w:ascii="仿宋_GB2312" w:hAnsi="Calibri" w:eastAsia="仿宋_GB2312" w:cs="仿宋_GB2312"/>
          <w:sz w:val="24"/>
          <w:lang w:val="zh-TW" w:eastAsia="zh-CN" w:bidi="ar"/>
        </w:rPr>
        <w:t>（</w:t>
      </w:r>
      <w:r>
        <w:rPr>
          <w:rFonts w:hint="eastAsia" w:ascii="仿宋_GB2312" w:hAnsi="Calibri" w:eastAsia="仿宋_GB2312" w:cs="仿宋_GB2312"/>
          <w:sz w:val="24"/>
          <w:lang w:val="en-US" w:eastAsia="zh-CN" w:bidi="ar"/>
        </w:rPr>
        <w:t>GB/T 22239-2019）、《信息安全技术-网络安全等级保护测评要求</w:t>
      </w:r>
      <w:r>
        <w:rPr>
          <w:rFonts w:hint="eastAsia" w:ascii="仿宋_GB2312" w:hAnsi="Calibri" w:eastAsia="仿宋_GB2312" w:cs="仿宋_GB2312"/>
          <w:sz w:val="24"/>
          <w:lang w:val="zh-TW" w:eastAsia="zh-TW" w:bidi="ar"/>
        </w:rPr>
        <w:t>》</w:t>
      </w:r>
      <w:r>
        <w:rPr>
          <w:rFonts w:hint="eastAsia" w:ascii="仿宋_GB2312" w:hAnsi="Calibri" w:eastAsia="仿宋_GB2312" w:cs="仿宋_GB2312"/>
          <w:sz w:val="24"/>
          <w:lang w:val="zh-TW" w:eastAsia="zh-CN" w:bidi="ar"/>
        </w:rPr>
        <w:t>（</w:t>
      </w:r>
      <w:r>
        <w:rPr>
          <w:rFonts w:hint="eastAsia" w:ascii="仿宋_GB2312" w:hAnsi="Calibri" w:eastAsia="仿宋_GB2312" w:cs="仿宋_GB2312"/>
          <w:sz w:val="24"/>
          <w:lang w:val="en-US" w:eastAsia="zh-CN" w:bidi="ar"/>
        </w:rPr>
        <w:t>GB/T 28448-2019）、《中华人民共和国计算机信息系统安全保护条例》</w:t>
      </w:r>
      <w:r>
        <w:rPr>
          <w:rFonts w:hint="eastAsia" w:ascii="仿宋_GB2312" w:hAnsi="Calibri" w:eastAsia="仿宋_GB2312" w:cs="仿宋_GB2312"/>
          <w:sz w:val="24"/>
          <w:lang w:val="en-US" w:eastAsia="en-US" w:bidi="ar"/>
        </w:rPr>
        <w:t>(</w:t>
      </w:r>
      <w:r>
        <w:rPr>
          <w:rFonts w:hint="eastAsia" w:ascii="仿宋_GB2312" w:hAnsi="Calibri" w:eastAsia="仿宋_GB2312" w:cs="仿宋_GB2312"/>
          <w:sz w:val="24"/>
          <w:lang w:val="en-US" w:eastAsia="zh-CN" w:bidi="ar"/>
        </w:rPr>
        <w:t>国务院147号令）、《信息安全等级保护管理办法》（公通字[2007]43 号）、《关于信息安全等级保护工作的实施意见》（公通 【2004】66号）、《信息安全技术-网络安全等级保护安全设计技术要求</w:t>
      </w:r>
      <w:r>
        <w:rPr>
          <w:rFonts w:hint="eastAsia" w:ascii="仿宋_GB2312" w:hAnsi="Calibri" w:eastAsia="仿宋_GB2312" w:cs="仿宋_GB2312"/>
          <w:sz w:val="24"/>
          <w:lang w:val="zh-TW" w:eastAsia="zh-TW" w:bidi="ar"/>
        </w:rPr>
        <w:t>》</w:t>
      </w:r>
      <w:r>
        <w:rPr>
          <w:rFonts w:hint="eastAsia" w:ascii="仿宋_GB2312" w:hAnsi="Calibri" w:eastAsia="仿宋_GB2312" w:cs="仿宋_GB2312"/>
          <w:sz w:val="24"/>
          <w:lang w:val="en-US" w:eastAsia="zh-CN" w:bidi="ar"/>
        </w:rPr>
        <w:t xml:space="preserve">（GB/T </w:t>
      </w:r>
      <w:r>
        <w:rPr>
          <w:rFonts w:hint="eastAsia" w:ascii="仿宋_GB2312" w:hAnsi="Calibri" w:eastAsia="仿宋_GB2312" w:cs="仿宋_GB2312"/>
          <w:sz w:val="24"/>
          <w:lang w:val="en-US" w:eastAsia="en-US" w:bidi="ar"/>
        </w:rPr>
        <w:t xml:space="preserve"> 25070-2019)</w:t>
      </w:r>
      <w:r>
        <w:rPr>
          <w:rFonts w:hint="eastAsia" w:ascii="仿宋_GB2312" w:hAnsi="Calibri" w:eastAsia="仿宋_GB2312" w:cs="仿宋_GB2312"/>
          <w:sz w:val="24"/>
          <w:lang w:val="en-US" w:eastAsia="zh-CN" w:bidi="ar"/>
        </w:rPr>
        <w:t>、《信息安全技术-网络安全等级保护定级指南》（GB/T 22240-2020）、《信息安全技术-网络安全等级保护实施指南</w:t>
      </w:r>
      <w:r>
        <w:rPr>
          <w:rFonts w:hint="eastAsia" w:ascii="仿宋_GB2312" w:hAnsi="Calibri" w:eastAsia="仿宋_GB2312" w:cs="仿宋_GB2312"/>
          <w:sz w:val="24"/>
          <w:lang w:val="zh-TW" w:eastAsia="zh-TW" w:bidi="ar"/>
        </w:rPr>
        <w:t>》</w:t>
      </w:r>
      <w:r>
        <w:rPr>
          <w:rFonts w:hint="eastAsia" w:ascii="仿宋_GB2312" w:hAnsi="Calibri" w:eastAsia="仿宋_GB2312" w:cs="仿宋_GB2312"/>
          <w:sz w:val="24"/>
          <w:lang w:val="zh-TW" w:eastAsia="zh-CN" w:bidi="ar"/>
        </w:rPr>
        <w:t>（</w:t>
      </w:r>
      <w:r>
        <w:rPr>
          <w:rFonts w:hint="eastAsia" w:ascii="仿宋_GB2312" w:hAnsi="Calibri" w:eastAsia="仿宋_GB2312" w:cs="仿宋_GB2312"/>
          <w:sz w:val="24"/>
          <w:lang w:val="en-US" w:eastAsia="zh-CN" w:bidi="ar"/>
        </w:rPr>
        <w:t xml:space="preserve">GB/T </w:t>
      </w:r>
      <w:r>
        <w:rPr>
          <w:rFonts w:hint="eastAsia" w:ascii="仿宋_GB2312" w:hAnsi="Calibri" w:eastAsia="仿宋_GB2312" w:cs="仿宋_GB2312"/>
          <w:sz w:val="24"/>
          <w:lang w:val="en-US" w:eastAsia="en-US" w:bidi="ar"/>
        </w:rPr>
        <w:t>25058-2019</w:t>
      </w:r>
      <w:r>
        <w:rPr>
          <w:rFonts w:hint="eastAsia" w:ascii="仿宋_GB2312" w:hAnsi="Calibri" w:eastAsia="仿宋_GB2312" w:cs="仿宋_GB2312"/>
          <w:sz w:val="24"/>
          <w:lang w:val="en-US" w:eastAsia="zh-CN" w:bidi="ar"/>
        </w:rPr>
        <w:t>）、《信息安全技术-网络安全等级保护测评过程指南》（GB/T 28449-2018）、《信息安全技术-信息安全风险评估规范》（GB/T 20984-2007）等要求和标准，结合采购方的实际情况，开展单位核心信息系统的等级测评工作。</w:t>
      </w:r>
    </w:p>
    <w:p w14:paraId="3453FAA1">
      <w:pPr>
        <w:widowControl/>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bidi="ar"/>
        </w:rPr>
        <w:t>1.信息系统等级测评。在了解需要测评的信息系统基础上，确定采用的测评方式、使用的测评工具以及测评工具的接入方法，结合每个信息系统的具体情况，明确测评内容，形成详细的测评方案。按照测评方案对各系统进行测评，收集整理测评过程中发现的问题，形成《等级保护差距分析报告》。</w:t>
      </w:r>
    </w:p>
    <w:p w14:paraId="7A6313A3">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val="en-US" w:eastAsia="zh-CN" w:bidi="ar"/>
        </w:rPr>
        <w:t>2</w:t>
      </w:r>
      <w:r>
        <w:rPr>
          <w:rFonts w:hint="eastAsia" w:ascii="仿宋_GB2312" w:hAnsi="Calibri" w:eastAsia="仿宋_GB2312" w:cs="仿宋_GB2312"/>
          <w:sz w:val="24"/>
          <w:lang w:bidi="ar"/>
        </w:rPr>
        <w:t>.信息系统安全整改。在中标方的协助下，采购方按照安全整改方案的要求从两个方面进行安全整改：①从物理安全、网络安全、主机安全、应用安全以及数据安全五个层面进行安全技术加固工作；②从安全管理机构、安全管理制度、人员安全管理、系统建设管理以及系统运维管五个层面做好安全管理整改工作。</w:t>
      </w:r>
    </w:p>
    <w:p w14:paraId="12E727CE">
      <w:pPr>
        <w:widowControl/>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val="en-US" w:eastAsia="zh-CN" w:bidi="ar"/>
        </w:rPr>
        <w:t>3</w:t>
      </w:r>
      <w:r>
        <w:rPr>
          <w:rFonts w:hint="eastAsia" w:ascii="仿宋_GB2312" w:hAnsi="Calibri" w:eastAsia="仿宋_GB2312" w:cs="仿宋_GB2312"/>
          <w:sz w:val="24"/>
          <w:lang w:bidi="ar"/>
        </w:rPr>
        <w:t>.整改后回归测评。中标方就采购方信息系统安全整改后的情况进行复评。依据差距化分析报告不符合部分的整改情况进行认真检查后，给出测评报告。并就项目进行总结，移交所有项目资料给采购方。</w:t>
      </w:r>
    </w:p>
    <w:p w14:paraId="1C22C419">
      <w:pPr>
        <w:spacing w:line="400" w:lineRule="exact"/>
        <w:ind w:firstLine="482" w:firstLineChars="200"/>
        <w:rPr>
          <w:rFonts w:hint="eastAsia" w:ascii="楷体_GB2312" w:hAnsi="Calibri" w:eastAsia="楷体_GB2312" w:cs="楷体_GB2312"/>
          <w:b/>
          <w:bCs w:val="0"/>
          <w:sz w:val="24"/>
        </w:rPr>
      </w:pPr>
      <w:r>
        <w:rPr>
          <w:rFonts w:hint="eastAsia" w:ascii="楷体_GB2312" w:hAnsi="Calibri" w:eastAsia="楷体_GB2312" w:cs="楷体_GB2312"/>
          <w:b/>
          <w:bCs w:val="0"/>
          <w:sz w:val="24"/>
          <w:lang w:bidi="ar"/>
        </w:rPr>
        <w:t>（二）项目实施要求</w:t>
      </w:r>
    </w:p>
    <w:p w14:paraId="668FFB09">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1.投标人必须在投标文件中列出专业安全服务工具清单。</w:t>
      </w:r>
    </w:p>
    <w:p w14:paraId="2554BDA3">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2.项目在实施过程中使用的软件和硬件均由报价人免费提供；第三方软件和硬件均应取得合法授权，不存在所有权和知识产权纠纷，投标人承担由此产生侵权和知识产权违约责任。</w:t>
      </w:r>
    </w:p>
    <w:p w14:paraId="3FEAB1D5">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3.项目在实施工程中需要的硬件设备(如计算机、打印机等)均由中标人自行准备；采购方有权按照相关要求对设备做必要的处理；测评期间未经采购方允许，不得拷贝信息系统数据。</w:t>
      </w:r>
    </w:p>
    <w:p w14:paraId="035ABB17">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4.项目实施过程中，必须保证被测评的采购方核心信息系统的安全和平稳运行。</w:t>
      </w:r>
    </w:p>
    <w:p w14:paraId="33D5D089">
      <w:pPr>
        <w:spacing w:line="400" w:lineRule="exact"/>
        <w:ind w:firstLine="482" w:firstLineChars="200"/>
        <w:rPr>
          <w:rFonts w:hint="eastAsia" w:ascii="楷体_GB2312" w:hAnsi="Calibri" w:eastAsia="楷体_GB2312" w:cs="楷体_GB2312"/>
          <w:b/>
          <w:bCs w:val="0"/>
          <w:sz w:val="24"/>
        </w:rPr>
      </w:pPr>
      <w:r>
        <w:rPr>
          <w:rFonts w:hint="eastAsia" w:ascii="楷体_GB2312" w:hAnsi="Calibri" w:eastAsia="楷体_GB2312" w:cs="楷体_GB2312"/>
          <w:b/>
          <w:bCs w:val="0"/>
          <w:sz w:val="24"/>
          <w:lang w:bidi="ar"/>
        </w:rPr>
        <w:t>（三）项目进度和质量要求</w:t>
      </w:r>
    </w:p>
    <w:p w14:paraId="20706EFE">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1.投标方应详细描述测评的组织方式，包括组成的人员及分工、测评的过程组织、实施时间安排、测评方式所遵循的标准等。</w:t>
      </w:r>
    </w:p>
    <w:p w14:paraId="0106D68A">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2.投标方应提供本项目的测评方案，包括技术部分和实施部分。技术部分包括整体流程、技术方法和服务方案设计等，需要对每项技术方法的应用位置进行详细描述，技术方案中应详细描述本次测评采用的测评方式及标准、漏洞测试和应用分析的方法。</w:t>
      </w:r>
    </w:p>
    <w:p w14:paraId="30D49296">
      <w:pPr>
        <w:widowControl/>
        <w:spacing w:line="400" w:lineRule="exact"/>
        <w:ind w:firstLine="480" w:firstLineChars="200"/>
        <w:rPr>
          <w:rFonts w:hint="eastAsia" w:ascii="仿宋_GB2312" w:hAnsi="Calibri" w:eastAsia="仿宋_GB2312" w:cs="仿宋_GB2312"/>
          <w:b w:val="0"/>
          <w:bCs w:val="0"/>
          <w:sz w:val="24"/>
        </w:rPr>
      </w:pPr>
      <w:r>
        <w:rPr>
          <w:rFonts w:hint="eastAsia" w:ascii="仿宋_GB2312" w:hAnsi="Calibri" w:eastAsia="仿宋_GB2312" w:cs="仿宋_GB2312"/>
          <w:sz w:val="24"/>
          <w:lang w:bidi="ar"/>
        </w:rPr>
        <w:t>3.实施部分</w:t>
      </w:r>
      <w:r>
        <w:rPr>
          <w:rFonts w:hint="eastAsia" w:ascii="仿宋_GB2312" w:hAnsi="Calibri" w:eastAsia="仿宋_GB2312" w:cs="仿宋_GB2312"/>
          <w:b w:val="0"/>
          <w:bCs w:val="0"/>
          <w:sz w:val="24"/>
          <w:lang w:bidi="ar"/>
        </w:rPr>
        <w:t>包括人员组织、时间安排、阶段性文档提交、验收标准、质量保证和风险规避措施等，需要明确每项工作的时间安排、操作时间和操作人员。</w:t>
      </w:r>
    </w:p>
    <w:p w14:paraId="653729C3">
      <w:pPr>
        <w:spacing w:line="400" w:lineRule="exact"/>
        <w:ind w:firstLine="482" w:firstLineChars="200"/>
        <w:rPr>
          <w:rFonts w:hint="eastAsia" w:ascii="楷体_GB2312" w:hAnsi="Calibri" w:eastAsia="楷体_GB2312" w:cs="楷体_GB2312"/>
          <w:b/>
          <w:bCs/>
          <w:sz w:val="24"/>
          <w:lang w:bidi="ar"/>
        </w:rPr>
      </w:pPr>
      <w:r>
        <w:rPr>
          <w:rFonts w:hint="eastAsia" w:ascii="楷体_GB2312" w:hAnsi="Calibri" w:eastAsia="楷体_GB2312" w:cs="楷体_GB2312"/>
          <w:b/>
          <w:bCs/>
          <w:sz w:val="24"/>
          <w:lang w:bidi="ar"/>
        </w:rPr>
        <w:t>（四）保密要求</w:t>
      </w:r>
    </w:p>
    <w:p w14:paraId="5D3426EC">
      <w:pPr>
        <w:spacing w:line="400" w:lineRule="exact"/>
        <w:ind w:firstLine="480" w:firstLineChars="200"/>
        <w:rPr>
          <w:rFonts w:hint="eastAsia" w:ascii="仿宋_GB2312" w:hAnsi="Calibri" w:eastAsia="仿宋_GB2312" w:cs="仿宋_GB2312"/>
          <w:b w:val="0"/>
          <w:bCs w:val="0"/>
          <w:sz w:val="24"/>
        </w:rPr>
      </w:pPr>
      <w:r>
        <w:rPr>
          <w:rFonts w:hint="eastAsia" w:ascii="仿宋_GB2312" w:hAnsi="Calibri" w:eastAsia="仿宋_GB2312" w:cs="仿宋_GB2312"/>
          <w:b w:val="0"/>
          <w:bCs w:val="0"/>
          <w:sz w:val="24"/>
          <w:lang w:bidi="ar"/>
        </w:rPr>
        <w:t>投标方须保证对项目实施中所获取的任何信息和资料保密，并与采购方签订保密协议。</w:t>
      </w:r>
    </w:p>
    <w:p w14:paraId="32B50C8A">
      <w:pPr>
        <w:spacing w:line="400" w:lineRule="exact"/>
        <w:ind w:firstLine="482" w:firstLineChars="200"/>
        <w:rPr>
          <w:rFonts w:hint="eastAsia" w:ascii="楷体_GB2312" w:hAnsi="Calibri" w:eastAsia="楷体_GB2312" w:cs="楷体_GB2312"/>
          <w:b/>
          <w:bCs/>
          <w:sz w:val="24"/>
        </w:rPr>
      </w:pPr>
      <w:r>
        <w:rPr>
          <w:rFonts w:hint="eastAsia" w:ascii="楷体_GB2312" w:hAnsi="Calibri" w:eastAsia="楷体_GB2312" w:cs="楷体_GB2312"/>
          <w:b/>
          <w:bCs/>
          <w:sz w:val="24"/>
          <w:lang w:bidi="ar"/>
        </w:rPr>
        <w:t>（五）项目工期要求</w:t>
      </w:r>
    </w:p>
    <w:p w14:paraId="72CB4CF8">
      <w:pPr>
        <w:widowControl/>
        <w:spacing w:line="400" w:lineRule="exact"/>
        <w:ind w:firstLine="480" w:firstLineChars="200"/>
        <w:rPr>
          <w:rFonts w:hint="eastAsia" w:ascii="仿宋_GB2312" w:hAnsi="Calibri" w:eastAsia="仿宋_GB2312" w:cs="仿宋_GB2312"/>
          <w:b w:val="0"/>
          <w:bCs w:val="0"/>
          <w:sz w:val="24"/>
        </w:rPr>
      </w:pPr>
      <w:r>
        <w:rPr>
          <w:rFonts w:hint="eastAsia" w:ascii="仿宋_GB2312" w:hAnsi="Calibri" w:eastAsia="仿宋_GB2312" w:cs="仿宋_GB2312"/>
          <w:b w:val="0"/>
          <w:bCs w:val="0"/>
          <w:sz w:val="24"/>
          <w:lang w:bidi="ar"/>
        </w:rPr>
        <w:t>1.中标方须在合同生效</w:t>
      </w:r>
      <w:r>
        <w:rPr>
          <w:rFonts w:hint="eastAsia" w:ascii="仿宋_GB2312" w:eastAsia="仿宋_GB2312" w:cs="仿宋_GB2312"/>
          <w:b w:val="0"/>
          <w:bCs w:val="0"/>
          <w:sz w:val="24"/>
          <w:lang w:bidi="ar"/>
        </w:rPr>
        <w:t>10</w:t>
      </w:r>
      <w:r>
        <w:rPr>
          <w:rFonts w:hint="eastAsia" w:ascii="仿宋_GB2312" w:hAnsi="Calibri" w:eastAsia="仿宋_GB2312" w:cs="仿宋_GB2312"/>
          <w:b w:val="0"/>
          <w:bCs w:val="0"/>
          <w:sz w:val="24"/>
          <w:lang w:bidi="ar"/>
        </w:rPr>
        <w:t>个工作日内完成《系统差距分析报告》。</w:t>
      </w:r>
    </w:p>
    <w:p w14:paraId="7517ED27">
      <w:pPr>
        <w:widowControl/>
        <w:spacing w:line="400" w:lineRule="exact"/>
        <w:ind w:firstLine="480" w:firstLineChars="200"/>
        <w:rPr>
          <w:rFonts w:hint="eastAsia" w:ascii="仿宋_GB2312" w:hAnsi="Calibri" w:eastAsia="仿宋_GB2312" w:cs="仿宋_GB2312"/>
          <w:b w:val="0"/>
          <w:bCs w:val="0"/>
          <w:sz w:val="24"/>
        </w:rPr>
      </w:pPr>
      <w:r>
        <w:rPr>
          <w:rFonts w:hint="eastAsia" w:ascii="仿宋_GB2312" w:hAnsi="Calibri" w:eastAsia="仿宋_GB2312" w:cs="仿宋_GB2312"/>
          <w:b w:val="0"/>
          <w:bCs w:val="0"/>
          <w:sz w:val="24"/>
          <w:lang w:bidi="ar"/>
        </w:rPr>
        <w:t>2.中标方需协助信息系统安全等级保护备案</w:t>
      </w:r>
      <w:r>
        <w:rPr>
          <w:rFonts w:hint="eastAsia" w:ascii="仿宋_GB2312" w:hAnsi="Calibri" w:eastAsia="仿宋_GB2312" w:cs="仿宋_GB2312"/>
          <w:b w:val="0"/>
          <w:bCs w:val="0"/>
          <w:sz w:val="24"/>
          <w:lang w:eastAsia="zh-CN" w:bidi="ar"/>
        </w:rPr>
        <w:t>等</w:t>
      </w:r>
      <w:r>
        <w:rPr>
          <w:rFonts w:hint="eastAsia" w:ascii="仿宋_GB2312" w:hAnsi="Calibri" w:eastAsia="仿宋_GB2312" w:cs="仿宋_GB2312"/>
          <w:b w:val="0"/>
          <w:bCs w:val="0"/>
          <w:sz w:val="24"/>
          <w:lang w:bidi="ar"/>
        </w:rPr>
        <w:t>相关资料</w:t>
      </w:r>
      <w:r>
        <w:rPr>
          <w:rFonts w:hint="eastAsia" w:ascii="仿宋_GB2312" w:hAnsi="Calibri" w:eastAsia="仿宋_GB2312" w:cs="仿宋_GB2312"/>
          <w:b w:val="0"/>
          <w:bCs w:val="0"/>
          <w:sz w:val="24"/>
          <w:lang w:eastAsia="zh-CN" w:bidi="ar"/>
        </w:rPr>
        <w:t>的修订和报送</w:t>
      </w:r>
      <w:r>
        <w:rPr>
          <w:rFonts w:hint="eastAsia" w:ascii="仿宋_GB2312" w:hAnsi="Calibri" w:eastAsia="仿宋_GB2312" w:cs="仿宋_GB2312"/>
          <w:b w:val="0"/>
          <w:bCs w:val="0"/>
          <w:sz w:val="24"/>
          <w:lang w:bidi="ar"/>
        </w:rPr>
        <w:t>。</w:t>
      </w:r>
    </w:p>
    <w:p w14:paraId="34F3287A">
      <w:pPr>
        <w:spacing w:line="400" w:lineRule="exact"/>
        <w:ind w:firstLine="482" w:firstLineChars="200"/>
        <w:rPr>
          <w:rFonts w:hint="eastAsia" w:ascii="楷体_GB2312" w:hAnsi="Calibri" w:eastAsia="楷体_GB2312" w:cs="楷体_GB2312"/>
          <w:b/>
          <w:bCs w:val="0"/>
          <w:sz w:val="24"/>
          <w:lang w:bidi="ar"/>
        </w:rPr>
      </w:pPr>
      <w:r>
        <w:rPr>
          <w:rFonts w:hint="eastAsia" w:ascii="楷体_GB2312" w:hAnsi="Calibri" w:eastAsia="楷体_GB2312" w:cs="楷体_GB2312"/>
          <w:b/>
          <w:bCs w:val="0"/>
          <w:sz w:val="24"/>
          <w:lang w:bidi="ar"/>
        </w:rPr>
        <w:t>（六）售后服务要求</w:t>
      </w:r>
    </w:p>
    <w:p w14:paraId="2F769320">
      <w:pPr>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中标方为采购方提供安全咨询。</w:t>
      </w:r>
    </w:p>
    <w:p w14:paraId="3AD2C002">
      <w:pPr>
        <w:spacing w:line="400" w:lineRule="exact"/>
        <w:ind w:firstLine="482" w:firstLineChars="200"/>
        <w:rPr>
          <w:rFonts w:hint="eastAsia" w:ascii="楷体_GB2312" w:hAnsi="Calibri" w:eastAsia="楷体_GB2312" w:cs="楷体_GB2312"/>
          <w:b/>
          <w:bCs w:val="0"/>
          <w:sz w:val="24"/>
        </w:rPr>
      </w:pPr>
      <w:r>
        <w:rPr>
          <w:rFonts w:hint="eastAsia" w:ascii="楷体_GB2312" w:hAnsi="Calibri" w:eastAsia="楷体_GB2312" w:cs="楷体_GB2312"/>
          <w:b/>
          <w:bCs w:val="0"/>
          <w:sz w:val="24"/>
          <w:lang w:bidi="ar"/>
        </w:rPr>
        <w:t>（七）验收要求</w:t>
      </w:r>
    </w:p>
    <w:p w14:paraId="1C645EB8">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1.以《信息安全技术信息安全等级保护基本要求》等做验收标准。</w:t>
      </w:r>
    </w:p>
    <w:p w14:paraId="578C676E">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2.中标方须提供但不限于以下文档或成果。</w:t>
      </w:r>
    </w:p>
    <w:p w14:paraId="74B47038">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w:t>
      </w:r>
      <w:r>
        <w:rPr>
          <w:rFonts w:hint="eastAsia" w:ascii="仿宋_GB2312" w:hAnsi="Calibri" w:eastAsia="仿宋_GB2312" w:cs="仿宋_GB2312"/>
          <w:sz w:val="24"/>
          <w:lang w:val="en-US" w:eastAsia="zh-CN" w:bidi="ar"/>
        </w:rPr>
        <w:t>1</w:t>
      </w:r>
      <w:r>
        <w:rPr>
          <w:rFonts w:hint="eastAsia" w:ascii="仿宋_GB2312" w:hAnsi="Calibri" w:eastAsia="仿宋_GB2312" w:cs="仿宋_GB2312"/>
          <w:sz w:val="24"/>
          <w:lang w:bidi="ar"/>
        </w:rPr>
        <w:t>）《信息系统安全等级保护差距分析报告》</w:t>
      </w:r>
    </w:p>
    <w:p w14:paraId="53A890AD">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w:t>
      </w:r>
      <w:r>
        <w:rPr>
          <w:rFonts w:hint="eastAsia" w:ascii="仿宋_GB2312" w:hAnsi="Calibri" w:eastAsia="仿宋_GB2312" w:cs="仿宋_GB2312"/>
          <w:sz w:val="24"/>
          <w:lang w:val="en-US" w:eastAsia="zh-CN" w:bidi="ar"/>
        </w:rPr>
        <w:t>2</w:t>
      </w:r>
      <w:r>
        <w:rPr>
          <w:rFonts w:hint="eastAsia" w:ascii="仿宋_GB2312" w:hAnsi="Calibri" w:eastAsia="仿宋_GB2312" w:cs="仿宋_GB2312"/>
          <w:sz w:val="24"/>
          <w:lang w:bidi="ar"/>
        </w:rPr>
        <w:t>）《信息安全等级保护测评报告》</w:t>
      </w:r>
    </w:p>
    <w:p w14:paraId="088C13CE">
      <w:pPr>
        <w:spacing w:line="400" w:lineRule="exact"/>
        <w:ind w:firstLine="482" w:firstLineChars="200"/>
        <w:rPr>
          <w:rFonts w:hint="eastAsia" w:ascii="楷体_GB2312" w:hAnsi="Calibri" w:eastAsia="楷体_GB2312" w:cs="楷体_GB2312"/>
          <w:b/>
          <w:bCs w:val="0"/>
          <w:sz w:val="24"/>
        </w:rPr>
      </w:pPr>
      <w:r>
        <w:rPr>
          <w:rFonts w:hint="eastAsia" w:ascii="楷体_GB2312" w:hAnsi="Calibri" w:eastAsia="楷体_GB2312" w:cs="楷体_GB2312"/>
          <w:b/>
          <w:bCs w:val="0"/>
          <w:sz w:val="24"/>
          <w:lang w:bidi="ar"/>
        </w:rPr>
        <w:t>（八）其他要求</w:t>
      </w:r>
    </w:p>
    <w:p w14:paraId="3C08C3B0">
      <w:pPr>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1.项目实施中产生的相关报告、项目建设文档等一切成果，知识产权归采购方所有。中标方未经采购方同意，不得提供给第三方。</w:t>
      </w:r>
    </w:p>
    <w:p w14:paraId="5423FD83">
      <w:pPr>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2.投标的测评机构的测评报告和备案信息须通过湖南省公安机关认可。</w:t>
      </w:r>
    </w:p>
    <w:p w14:paraId="5EBF74AF">
      <w:pPr>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3.投标人使用的技术装备、设施应当符合《信息安全等级保护管理办法》中对信息安全产品的要求；</w:t>
      </w:r>
    </w:p>
    <w:p w14:paraId="7A3BF311">
      <w:pPr>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4.投标人的技术方案中应有完备的保密管理、项目管理、质量管理、人员管理等管理制度。</w:t>
      </w:r>
    </w:p>
    <w:p w14:paraId="777B8717">
      <w:pPr>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5.投保人必须是在中华人民共和国境内注册具有独立法人资格的合法企业、事业单位。</w:t>
      </w:r>
    </w:p>
    <w:p w14:paraId="4D46F243">
      <w:pPr>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6.投标人在近</w:t>
      </w:r>
      <w:r>
        <w:rPr>
          <w:rFonts w:hint="eastAsia" w:ascii="仿宋_GB2312" w:hAnsi="Calibri" w:eastAsia="仿宋_GB2312" w:cs="仿宋_GB2312"/>
          <w:sz w:val="24"/>
          <w:lang w:eastAsia="zh-CN" w:bidi="ar"/>
        </w:rPr>
        <w:t>三</w:t>
      </w:r>
      <w:r>
        <w:rPr>
          <w:rFonts w:hint="eastAsia" w:ascii="仿宋_GB2312" w:hAnsi="Calibri" w:eastAsia="仿宋_GB2312" w:cs="仿宋_GB2312"/>
          <w:sz w:val="24"/>
          <w:lang w:bidi="ar"/>
        </w:rPr>
        <w:t>年内，在经营活动中没有重大违纪、违法记录。</w:t>
      </w:r>
    </w:p>
    <w:p w14:paraId="30299FD5">
      <w:pPr>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7.投标人必须具有独立承担民事责任的能力，能够提供所需货物（服务）的供应及相关服务，资信良好。</w:t>
      </w:r>
    </w:p>
    <w:p w14:paraId="692D5740">
      <w:pPr>
        <w:spacing w:line="400" w:lineRule="exact"/>
        <w:ind w:firstLine="480" w:firstLineChars="200"/>
        <w:rPr>
          <w:rFonts w:hint="eastAsia" w:ascii="仿宋_GB2312" w:hAnsi="Calibri" w:eastAsia="仿宋_GB2312" w:cs="仿宋_GB2312"/>
          <w:b w:val="0"/>
          <w:bCs w:val="0"/>
          <w:sz w:val="24"/>
        </w:rPr>
      </w:pPr>
      <w:r>
        <w:rPr>
          <w:rFonts w:hint="eastAsia" w:ascii="仿宋_GB2312" w:hAnsi="Calibri" w:eastAsia="仿宋_GB2312" w:cs="仿宋_GB2312"/>
          <w:sz w:val="24"/>
          <w:lang w:bidi="ar"/>
        </w:rPr>
        <w:t>8.此项目不接受</w:t>
      </w:r>
      <w:r>
        <w:rPr>
          <w:rFonts w:hint="eastAsia" w:ascii="仿宋_GB2312" w:hAnsi="Calibri" w:eastAsia="仿宋_GB2312" w:cs="仿宋_GB2312"/>
          <w:b w:val="0"/>
          <w:bCs w:val="0"/>
          <w:sz w:val="24"/>
          <w:lang w:bidi="ar"/>
        </w:rPr>
        <w:t>联合体投标。</w:t>
      </w:r>
    </w:p>
    <w:p w14:paraId="342AD4B9">
      <w:pPr>
        <w:spacing w:line="400" w:lineRule="exact"/>
        <w:ind w:firstLine="480" w:firstLineChars="200"/>
        <w:rPr>
          <w:rFonts w:hint="eastAsia" w:ascii="仿宋_GB2312" w:hAnsi="Calibri" w:eastAsia="仿宋_GB2312" w:cs="仿宋_GB2312"/>
          <w:b w:val="0"/>
          <w:bCs w:val="0"/>
          <w:sz w:val="24"/>
        </w:rPr>
      </w:pPr>
      <w:r>
        <w:rPr>
          <w:rFonts w:hint="eastAsia" w:ascii="仿宋_GB2312" w:hAnsi="Calibri" w:eastAsia="仿宋_GB2312" w:cs="仿宋_GB2312"/>
          <w:b w:val="0"/>
          <w:bCs w:val="0"/>
          <w:sz w:val="24"/>
          <w:lang w:bidi="ar"/>
        </w:rPr>
        <w:t>9.履行合同的时间、地点及方式：</w:t>
      </w:r>
    </w:p>
    <w:p w14:paraId="251322CB">
      <w:pPr>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b w:val="0"/>
          <w:bCs w:val="0"/>
          <w:sz w:val="24"/>
          <w:lang w:bidi="ar"/>
        </w:rPr>
        <w:t>(1)交货时间：</w:t>
      </w:r>
      <w:r>
        <w:rPr>
          <w:rFonts w:hint="eastAsia" w:ascii="仿宋_GB2312" w:hAnsi="Calibri" w:eastAsia="仿宋_GB2312" w:cs="仿宋_GB2312"/>
          <w:b/>
          <w:bCs/>
          <w:sz w:val="24"/>
          <w:lang w:eastAsia="zh-CN" w:bidi="ar"/>
        </w:rPr>
        <w:t>合同生效</w:t>
      </w:r>
      <w:r>
        <w:rPr>
          <w:rFonts w:hint="eastAsia" w:ascii="仿宋_GB2312" w:hAnsi="Calibri" w:eastAsia="仿宋_GB2312" w:cs="仿宋_GB2312"/>
          <w:b/>
          <w:bCs/>
          <w:sz w:val="24"/>
          <w:lang w:bidi="ar"/>
        </w:rPr>
        <w:t>30个工作日</w:t>
      </w:r>
      <w:r>
        <w:rPr>
          <w:rFonts w:hint="eastAsia" w:ascii="仿宋_GB2312" w:hAnsi="Calibri" w:eastAsia="仿宋_GB2312" w:cs="仿宋_GB2312"/>
          <w:sz w:val="24"/>
          <w:lang w:bidi="ar"/>
        </w:rPr>
        <w:t>完成测评工作。</w:t>
      </w:r>
    </w:p>
    <w:p w14:paraId="342E2BD5">
      <w:pPr>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(2)服务地点：长沙市</w:t>
      </w:r>
      <w:r>
        <w:rPr>
          <w:rFonts w:hint="eastAsia" w:ascii="仿宋_GB2312" w:hAnsi="Calibri" w:eastAsia="仿宋_GB2312" w:cs="仿宋_GB2312"/>
          <w:sz w:val="24"/>
          <w:lang w:eastAsia="zh-CN" w:bidi="ar"/>
        </w:rPr>
        <w:t>五一中路</w:t>
      </w:r>
      <w:r>
        <w:rPr>
          <w:rFonts w:hint="eastAsia" w:ascii="仿宋_GB2312" w:hAnsi="Calibri" w:eastAsia="仿宋_GB2312" w:cs="仿宋_GB2312"/>
          <w:sz w:val="24"/>
          <w:lang w:val="en-US" w:eastAsia="zh-CN" w:bidi="ar"/>
        </w:rPr>
        <w:t>351号六办公楼</w:t>
      </w:r>
      <w:r>
        <w:rPr>
          <w:rFonts w:hint="default" w:ascii="仿宋_GB2312" w:hAnsi="Calibri" w:eastAsia="仿宋_GB2312" w:cs="仿宋_GB2312"/>
          <w:sz w:val="24"/>
          <w:lang w:val="en" w:bidi="ar"/>
        </w:rPr>
        <w:t>省统计局</w:t>
      </w:r>
      <w:r>
        <w:rPr>
          <w:rFonts w:hint="eastAsia" w:ascii="仿宋_GB2312" w:hAnsi="Calibri" w:eastAsia="仿宋_GB2312" w:cs="仿宋_GB2312"/>
          <w:sz w:val="24"/>
          <w:lang w:bidi="ar"/>
        </w:rPr>
        <w:t>。</w:t>
      </w:r>
    </w:p>
    <w:p w14:paraId="5B547BAF">
      <w:pPr>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bidi="ar"/>
        </w:rPr>
        <w:t>(3)交货方式：经验收考核合格，并按合同约定移交有关资料。</w:t>
      </w:r>
    </w:p>
    <w:p w14:paraId="12A14D69">
      <w:pPr>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bidi="ar"/>
        </w:rPr>
        <w:t>10.合同价款支付方式和条件：</w:t>
      </w:r>
    </w:p>
    <w:p w14:paraId="6E647FBB">
      <w:pPr>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bidi="ar"/>
        </w:rPr>
        <w:t>（1）投标总价为合同包干价。</w:t>
      </w:r>
    </w:p>
    <w:p w14:paraId="19B34B44">
      <w:pPr>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bidi="ar"/>
        </w:rPr>
        <w:t>（2）支付方式：集中支付</w:t>
      </w:r>
    </w:p>
    <w:p w14:paraId="40319787">
      <w:pPr>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bidi="ar"/>
        </w:rPr>
        <w:t>（3）付款条件：项目验收合格后15个工作日内付</w:t>
      </w:r>
      <w:r>
        <w:rPr>
          <w:rFonts w:hint="eastAsia" w:ascii="仿宋_GB2312" w:hAnsi="Calibri" w:eastAsia="仿宋_GB2312" w:cs="仿宋_GB2312"/>
          <w:sz w:val="24"/>
          <w:lang w:eastAsia="zh-CN" w:bidi="ar"/>
        </w:rPr>
        <w:t>全</w:t>
      </w:r>
      <w:r>
        <w:rPr>
          <w:rFonts w:hint="eastAsia" w:ascii="仿宋_GB2312" w:hAnsi="Calibri" w:eastAsia="仿宋_GB2312" w:cs="仿宋_GB2312"/>
          <w:sz w:val="24"/>
          <w:lang w:bidi="ar"/>
        </w:rPr>
        <w:t>款。付款前中标方应开具付款总额的正规发票，否则采购人拒绝付款。</w:t>
      </w:r>
    </w:p>
    <w:p w14:paraId="226D6ECD">
      <w:pPr>
        <w:spacing w:line="400" w:lineRule="exact"/>
        <w:ind w:firstLine="480" w:firstLineChars="200"/>
        <w:rPr>
          <w:rFonts w:hint="eastAsia" w:ascii="黑体" w:hAnsi="宋体" w:eastAsia="黑体" w:cs="黑体"/>
          <w:sz w:val="24"/>
          <w:lang w:bidi="ar"/>
        </w:rPr>
      </w:pPr>
      <w:r>
        <w:rPr>
          <w:rFonts w:hint="eastAsia" w:ascii="仿宋_GB2312" w:hAnsi="Calibri" w:eastAsia="仿宋_GB2312" w:cs="仿宋_GB2312"/>
          <w:sz w:val="24"/>
          <w:lang w:bidi="ar"/>
        </w:rPr>
        <w:t>11.解决争议的方式：合同执行过程中发生争执，由双方协商解决。协商不成时，依法向买方当地人民法院起诉。</w:t>
      </w:r>
    </w:p>
    <w:p w14:paraId="6E29F142">
      <w:pPr>
        <w:widowControl/>
        <w:spacing w:line="400" w:lineRule="exact"/>
        <w:ind w:firstLine="482" w:firstLineChars="200"/>
        <w:rPr>
          <w:rFonts w:hint="eastAsia" w:ascii="黑体" w:hAnsi="宋体" w:eastAsia="黑体" w:cs="黑体"/>
          <w:b/>
          <w:bCs/>
          <w:sz w:val="24"/>
        </w:rPr>
      </w:pPr>
      <w:r>
        <w:rPr>
          <w:rFonts w:hint="eastAsia" w:ascii="黑体" w:hAnsi="宋体" w:eastAsia="黑体" w:cs="黑体"/>
          <w:b/>
          <w:bCs/>
          <w:sz w:val="24"/>
          <w:lang w:bidi="ar"/>
        </w:rPr>
        <w:t>三、供应商资格条件</w:t>
      </w:r>
    </w:p>
    <w:p w14:paraId="32BE83F4">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1.基本资格条件。符合《中华人民共和国政府采购法》第二十二条规定的供应商条件，并提供以下资格证明文件：</w:t>
      </w:r>
    </w:p>
    <w:p w14:paraId="3E9C0378">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（1）法人营业执照副本(或者法人登记证书)扫描件；</w:t>
      </w:r>
    </w:p>
    <w:p w14:paraId="5747F33E">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（2）法定代表人授权委托书原件及双方身份证扫描件；</w:t>
      </w:r>
    </w:p>
    <w:p w14:paraId="555F051D">
      <w:pPr>
        <w:widowControl/>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bidi="ar"/>
        </w:rPr>
        <w:t>（3）《依法缴纳税收和社会保险费的证明材料》：《税务登记证》和《社会保险登记证》的复印件，或者近三个月依法缴纳税收和社会保险费的证明（纳税及缴费凭证复印件），或者委托他人缴纳的委托代办协议和近三个月的缴纳证明（收据扫描件），或者法定征收机关出具的依法免缴税费的证明原件。</w:t>
      </w:r>
    </w:p>
    <w:p w14:paraId="1DA99ABD">
      <w:pPr>
        <w:widowControl/>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bidi="ar"/>
        </w:rPr>
        <w:t>（4）投标人参加本次政府采购活动前</w:t>
      </w:r>
      <w:r>
        <w:rPr>
          <w:rFonts w:hint="eastAsia" w:ascii="仿宋_GB2312" w:hAnsi="Calibri" w:eastAsia="仿宋_GB2312" w:cs="仿宋_GB2312"/>
          <w:sz w:val="24"/>
          <w:lang w:eastAsia="zh-CN" w:bidi="ar"/>
        </w:rPr>
        <w:t>三</w:t>
      </w:r>
      <w:r>
        <w:rPr>
          <w:rFonts w:hint="eastAsia" w:ascii="仿宋_GB2312" w:hAnsi="Calibri" w:eastAsia="仿宋_GB2312" w:cs="仿宋_GB2312"/>
          <w:sz w:val="24"/>
          <w:lang w:bidi="ar"/>
        </w:rPr>
        <w:t>年内没有重大违法记录的书面声明。</w:t>
      </w:r>
    </w:p>
    <w:p w14:paraId="5A1FCD9E">
      <w:pPr>
        <w:widowControl/>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bidi="ar"/>
        </w:rPr>
        <w:t>（</w:t>
      </w:r>
      <w:r>
        <w:rPr>
          <w:rFonts w:hint="default" w:ascii="仿宋_GB2312" w:hAnsi="Calibri" w:eastAsia="仿宋_GB2312" w:cs="仿宋_GB2312"/>
          <w:sz w:val="24"/>
          <w:lang w:val="en" w:bidi="ar"/>
        </w:rPr>
        <w:t>5</w:t>
      </w:r>
      <w:r>
        <w:rPr>
          <w:rFonts w:hint="eastAsia" w:ascii="仿宋_GB2312" w:hAnsi="Calibri" w:eastAsia="仿宋_GB2312" w:cs="仿宋_GB2312"/>
          <w:sz w:val="24"/>
          <w:lang w:bidi="ar"/>
        </w:rPr>
        <w:t>）如为中小企业，供应商可按《湖南省财政厅关于政府采购促进中小企业发展有关措施的通知》要求，提供《湖南省政府采购供应商资格承诺函》替代本节（</w:t>
      </w:r>
      <w:r>
        <w:rPr>
          <w:rFonts w:hint="eastAsia" w:ascii="仿宋_GB2312" w:hAnsi="Calibri" w:eastAsia="仿宋_GB2312" w:cs="仿宋_GB2312"/>
          <w:sz w:val="24"/>
          <w:lang w:val="en-US" w:eastAsia="zh-CN" w:bidi="ar"/>
        </w:rPr>
        <w:t>3</w:t>
      </w:r>
      <w:r>
        <w:rPr>
          <w:rFonts w:hint="eastAsia" w:ascii="仿宋_GB2312" w:hAnsi="Calibri" w:eastAsia="仿宋_GB2312" w:cs="仿宋_GB2312"/>
          <w:sz w:val="24"/>
          <w:lang w:bidi="ar"/>
        </w:rPr>
        <w:t>）、（4）项资格证明文件。</w:t>
      </w:r>
    </w:p>
    <w:p w14:paraId="7B6A2F41">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2.投标人具有实行了“三证合一”或“五证合一”登记制度改革的新证，视同为符合基本资格条件的相关条款。</w:t>
      </w:r>
    </w:p>
    <w:p w14:paraId="46653D20">
      <w:pPr>
        <w:widowControl/>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bidi="ar"/>
        </w:rPr>
        <w:t>3.特定资格条件：</w:t>
      </w:r>
    </w:p>
    <w:p w14:paraId="56FCBA8E">
      <w:pPr>
        <w:widowControl/>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eastAsia="zh-CN" w:bidi="ar"/>
        </w:rPr>
        <w:t>（</w:t>
      </w:r>
      <w:r>
        <w:rPr>
          <w:rFonts w:hint="eastAsia" w:ascii="仿宋_GB2312" w:hAnsi="Calibri" w:eastAsia="仿宋_GB2312" w:cs="仿宋_GB2312"/>
          <w:sz w:val="24"/>
          <w:lang w:val="en-US" w:eastAsia="zh-CN" w:bidi="ar"/>
        </w:rPr>
        <w:t>1</w:t>
      </w:r>
      <w:r>
        <w:rPr>
          <w:rFonts w:hint="eastAsia" w:ascii="仿宋_GB2312" w:hAnsi="Calibri" w:eastAsia="仿宋_GB2312" w:cs="仿宋_GB2312"/>
          <w:sz w:val="24"/>
          <w:lang w:eastAsia="zh-CN" w:bidi="ar"/>
        </w:rPr>
        <w:t>）投标人</w:t>
      </w:r>
      <w:r>
        <w:rPr>
          <w:rFonts w:hint="eastAsia" w:ascii="仿宋_GB2312" w:hAnsi="Calibri" w:eastAsia="仿宋_GB2312" w:cs="仿宋_GB2312"/>
          <w:sz w:val="24"/>
          <w:lang w:bidi="ar"/>
        </w:rPr>
        <w:t>须具有</w:t>
      </w:r>
      <w:r>
        <w:rPr>
          <w:rFonts w:hint="eastAsia" w:ascii="仿宋_GB2312" w:hAnsi="Calibri" w:eastAsia="仿宋_GB2312" w:cs="仿宋_GB2312"/>
          <w:b w:val="0"/>
          <w:bCs w:val="0"/>
          <w:sz w:val="24"/>
          <w:lang w:bidi="ar"/>
        </w:rPr>
        <w:t>经公安部第三研</w:t>
      </w:r>
      <w:r>
        <w:rPr>
          <w:rFonts w:hint="eastAsia" w:ascii="仿宋_GB2312" w:hAnsi="Calibri" w:eastAsia="仿宋_GB2312" w:cs="仿宋_GB2312"/>
          <w:b w:val="0"/>
          <w:bCs w:val="0"/>
          <w:sz w:val="24"/>
          <w:lang w:eastAsia="zh-CN" w:bidi="ar"/>
        </w:rPr>
        <w:t>究</w:t>
      </w:r>
      <w:r>
        <w:rPr>
          <w:rFonts w:hint="eastAsia" w:ascii="仿宋_GB2312" w:hAnsi="Calibri" w:eastAsia="仿宋_GB2312" w:cs="仿宋_GB2312"/>
          <w:b w:val="0"/>
          <w:bCs w:val="0"/>
          <w:sz w:val="24"/>
          <w:lang w:bidi="ar"/>
        </w:rPr>
        <w:t>所认证发放的《网络安全等级测评与检测评估机构服务认证证书》，且证书处于有效</w:t>
      </w:r>
      <w:r>
        <w:rPr>
          <w:rFonts w:hint="eastAsia" w:ascii="仿宋_GB2312" w:hAnsi="Calibri" w:eastAsia="仿宋_GB2312" w:cs="仿宋_GB2312"/>
          <w:sz w:val="24"/>
          <w:lang w:bidi="ar"/>
        </w:rPr>
        <w:t>期内。</w:t>
      </w:r>
    </w:p>
    <w:p w14:paraId="360B030E">
      <w:pPr>
        <w:widowControl/>
        <w:spacing w:line="400" w:lineRule="exact"/>
        <w:ind w:firstLine="480" w:firstLineChars="200"/>
        <w:rPr>
          <w:rFonts w:hint="eastAsia" w:ascii="仿宋_GB2312" w:hAnsi="Calibri" w:eastAsia="仿宋_GB2312" w:cs="仿宋_GB2312"/>
          <w:sz w:val="24"/>
          <w:lang w:eastAsia="zh-CN" w:bidi="ar"/>
        </w:rPr>
      </w:pPr>
      <w:r>
        <w:rPr>
          <w:rFonts w:hint="eastAsia" w:ascii="仿宋_GB2312" w:hAnsi="Calibri" w:eastAsia="仿宋_GB2312" w:cs="仿宋_GB2312"/>
          <w:sz w:val="24"/>
          <w:lang w:eastAsia="zh-CN" w:bidi="ar"/>
        </w:rPr>
        <w:t>（</w:t>
      </w:r>
      <w:r>
        <w:rPr>
          <w:rFonts w:hint="eastAsia" w:ascii="仿宋_GB2312" w:hAnsi="Calibri" w:eastAsia="仿宋_GB2312" w:cs="仿宋_GB2312"/>
          <w:sz w:val="24"/>
          <w:lang w:val="en-US" w:eastAsia="zh-CN" w:bidi="ar"/>
        </w:rPr>
        <w:t>2</w:t>
      </w:r>
      <w:r>
        <w:rPr>
          <w:rFonts w:hint="eastAsia" w:ascii="仿宋_GB2312" w:hAnsi="Calibri" w:eastAsia="仿宋_GB2312" w:cs="仿宋_GB2312"/>
          <w:sz w:val="24"/>
          <w:lang w:eastAsia="zh-CN" w:bidi="ar"/>
        </w:rPr>
        <w:t>）</w:t>
      </w:r>
      <w:r>
        <w:rPr>
          <w:rFonts w:hint="eastAsia" w:ascii="仿宋_GB2312" w:hAnsi="Calibri" w:eastAsia="仿宋_GB2312" w:cs="仿宋_GB2312"/>
          <w:sz w:val="24"/>
          <w:lang w:bidi="ar"/>
        </w:rPr>
        <w:t>投标人</w:t>
      </w:r>
      <w:r>
        <w:rPr>
          <w:rFonts w:hint="eastAsia" w:ascii="仿宋_GB2312" w:hAnsi="Calibri" w:eastAsia="仿宋_GB2312" w:cs="仿宋_GB2312"/>
          <w:sz w:val="24"/>
          <w:lang w:eastAsia="zh-CN" w:bidi="ar"/>
        </w:rPr>
        <w:t>应为</w:t>
      </w:r>
      <w:r>
        <w:rPr>
          <w:rFonts w:hint="eastAsia" w:ascii="仿宋_GB2312" w:hAnsi="Calibri" w:eastAsia="仿宋_GB2312" w:cs="仿宋_GB2312"/>
          <w:sz w:val="24"/>
          <w:lang w:bidi="ar"/>
        </w:rPr>
        <w:t>《全国网络安全等级保护测评机构推荐目录中》</w:t>
      </w:r>
      <w:r>
        <w:rPr>
          <w:rFonts w:hint="eastAsia" w:ascii="仿宋_GB2312" w:hAnsi="Calibri" w:eastAsia="仿宋_GB2312" w:cs="仿宋_GB2312"/>
          <w:sz w:val="24"/>
          <w:lang w:eastAsia="zh-CN" w:bidi="ar"/>
        </w:rPr>
        <w:t>入选</w:t>
      </w:r>
      <w:r>
        <w:rPr>
          <w:rFonts w:hint="eastAsia" w:ascii="仿宋_GB2312" w:hAnsi="Calibri" w:eastAsia="仿宋_GB2312" w:cs="仿宋_GB2312"/>
          <w:sz w:val="24"/>
          <w:lang w:bidi="ar"/>
        </w:rPr>
        <w:t>单位</w:t>
      </w:r>
      <w:r>
        <w:rPr>
          <w:rFonts w:hint="eastAsia" w:ascii="仿宋_GB2312" w:hAnsi="Calibri" w:eastAsia="仿宋_GB2312" w:cs="仿宋_GB2312"/>
          <w:sz w:val="24"/>
          <w:lang w:eastAsia="zh-CN" w:bidi="ar"/>
        </w:rPr>
        <w:t>。</w:t>
      </w:r>
    </w:p>
    <w:p w14:paraId="4E54D5C8">
      <w:pPr>
        <w:widowControl/>
        <w:spacing w:line="400" w:lineRule="exact"/>
        <w:ind w:firstLine="480" w:firstLineChars="200"/>
        <w:rPr>
          <w:rFonts w:hint="eastAsia" w:ascii="仿宋_GB2312" w:hAnsi="Calibri" w:eastAsia="仿宋_GB2312" w:cs="仿宋_GB2312"/>
          <w:sz w:val="24"/>
          <w:lang w:bidi="ar"/>
        </w:rPr>
      </w:pPr>
      <w:r>
        <w:rPr>
          <w:rFonts w:hint="eastAsia" w:ascii="仿宋_GB2312" w:hAnsi="Calibri" w:eastAsia="仿宋_GB2312" w:cs="仿宋_GB2312"/>
          <w:sz w:val="24"/>
          <w:lang w:val="en-US" w:eastAsia="zh-CN" w:bidi="ar"/>
        </w:rPr>
        <w:t>（3）</w:t>
      </w:r>
      <w:r>
        <w:rPr>
          <w:rFonts w:hint="eastAsia" w:ascii="仿宋_GB2312" w:hAnsi="Calibri" w:eastAsia="仿宋_GB2312" w:cs="仿宋_GB2312"/>
          <w:sz w:val="24"/>
          <w:lang w:bidi="ar"/>
        </w:rPr>
        <w:t>投标人须具有中国网络安全审</w:t>
      </w:r>
      <w:r>
        <w:rPr>
          <w:rFonts w:hint="eastAsia" w:ascii="仿宋_GB2312" w:eastAsia="仿宋_GB2312" w:cs="仿宋_GB2312"/>
          <w:sz w:val="24"/>
          <w:lang w:bidi="ar"/>
        </w:rPr>
        <w:t>查</w:t>
      </w:r>
      <w:r>
        <w:rPr>
          <w:rFonts w:hint="eastAsia" w:ascii="仿宋_GB2312" w:hAnsi="Calibri" w:eastAsia="仿宋_GB2312" w:cs="仿宋_GB2312"/>
          <w:sz w:val="24"/>
          <w:lang w:bidi="ar"/>
        </w:rPr>
        <w:t>技术与认证中心颁发的信息安全风险评估</w:t>
      </w:r>
      <w:r>
        <w:rPr>
          <w:rFonts w:hint="eastAsia" w:ascii="仿宋_GB2312" w:hAnsi="Calibri" w:eastAsia="仿宋_GB2312" w:cs="仿宋_GB2312"/>
          <w:sz w:val="24"/>
          <w:lang w:eastAsia="zh-CN" w:bidi="ar"/>
        </w:rPr>
        <w:t>以及</w:t>
      </w:r>
      <w:r>
        <w:rPr>
          <w:rFonts w:hint="eastAsia" w:ascii="仿宋_GB2312" w:hAnsi="Calibri" w:eastAsia="仿宋_GB2312" w:cs="仿宋_GB2312"/>
          <w:sz w:val="24"/>
          <w:lang w:bidi="ar"/>
        </w:rPr>
        <w:t>信息系统安全运维资质。</w:t>
      </w:r>
    </w:p>
    <w:p w14:paraId="62719679">
      <w:pPr>
        <w:widowControl/>
        <w:spacing w:line="400" w:lineRule="exact"/>
        <w:ind w:firstLine="480" w:firstLineChars="200"/>
        <w:rPr>
          <w:rFonts w:hint="eastAsia" w:ascii="仿宋_GB2312" w:hAnsi="Calibri" w:eastAsia="仿宋_GB2312" w:cs="仿宋_GB2312"/>
          <w:color w:val="auto"/>
          <w:sz w:val="24"/>
          <w:lang w:eastAsia="zh-CN" w:bidi="ar"/>
        </w:rPr>
      </w:pPr>
      <w:r>
        <w:rPr>
          <w:rFonts w:hint="eastAsia" w:ascii="仿宋_GB2312" w:hAnsi="Calibri" w:eastAsia="仿宋_GB2312" w:cs="仿宋_GB2312"/>
          <w:color w:val="auto"/>
          <w:sz w:val="24"/>
          <w:lang w:val="en-US" w:eastAsia="zh-CN" w:bidi="ar"/>
        </w:rPr>
        <w:t>（4）项目经理</w:t>
      </w:r>
      <w:r>
        <w:rPr>
          <w:rFonts w:hint="eastAsia" w:ascii="仿宋_GB2312" w:hAnsi="Calibri" w:eastAsia="仿宋_GB2312" w:cs="仿宋_GB2312"/>
          <w:color w:val="auto"/>
          <w:sz w:val="24"/>
          <w:lang w:eastAsia="zh-CN" w:bidi="ar"/>
        </w:rPr>
        <w:t>需</w:t>
      </w:r>
      <w:r>
        <w:rPr>
          <w:rFonts w:hint="eastAsia" w:ascii="仿宋_GB2312" w:hAnsi="Calibri" w:eastAsia="仿宋_GB2312" w:cs="仿宋_GB2312"/>
          <w:color w:val="auto"/>
          <w:sz w:val="24"/>
          <w:lang w:bidi="ar"/>
        </w:rPr>
        <w:t>具有网络安全等级测评师</w:t>
      </w:r>
      <w:r>
        <w:rPr>
          <w:rFonts w:hint="eastAsia" w:ascii="仿宋_GB2312" w:hAnsi="Calibri" w:eastAsia="仿宋_GB2312" w:cs="仿宋_GB2312"/>
          <w:color w:val="auto"/>
          <w:sz w:val="24"/>
          <w:lang w:eastAsia="zh-CN" w:bidi="ar"/>
        </w:rPr>
        <w:t>，</w:t>
      </w:r>
      <w:r>
        <w:rPr>
          <w:rFonts w:hint="eastAsia" w:ascii="仿宋_GB2312" w:hAnsi="Calibri" w:eastAsia="仿宋_GB2312" w:cs="仿宋_GB2312"/>
          <w:b w:val="0"/>
          <w:bCs w:val="0"/>
          <w:color w:val="auto"/>
          <w:sz w:val="24"/>
          <w:lang w:val="en-US" w:eastAsia="zh-CN" w:bidi="ar"/>
        </w:rPr>
        <w:t>在投标单位近三个月的社保证明</w:t>
      </w:r>
      <w:r>
        <w:rPr>
          <w:rFonts w:hint="eastAsia" w:ascii="仿宋_GB2312" w:hAnsi="Calibri" w:eastAsia="仿宋_GB2312" w:cs="仿宋_GB2312"/>
          <w:color w:val="auto"/>
          <w:sz w:val="24"/>
          <w:lang w:eastAsia="zh-CN" w:bidi="ar"/>
        </w:rPr>
        <w:t>。</w:t>
      </w:r>
    </w:p>
    <w:p w14:paraId="11E89E6D">
      <w:pPr>
        <w:widowControl/>
        <w:spacing w:line="400" w:lineRule="exact"/>
        <w:ind w:firstLine="480" w:firstLineChars="200"/>
        <w:rPr>
          <w:rFonts w:hint="eastAsia" w:ascii="仿宋_GB2312" w:hAnsi="Calibri" w:eastAsia="仿宋_GB2312" w:cs="仿宋_GB2312"/>
          <w:color w:val="auto"/>
          <w:sz w:val="24"/>
          <w:lang w:val="en-US" w:eastAsia="zh-CN" w:bidi="ar"/>
        </w:rPr>
      </w:pPr>
      <w:r>
        <w:rPr>
          <w:rFonts w:hint="eastAsia" w:ascii="仿宋_GB2312" w:hAnsi="Calibri" w:eastAsia="仿宋_GB2312" w:cs="仿宋_GB2312"/>
          <w:color w:val="auto"/>
          <w:sz w:val="24"/>
          <w:lang w:val="en-US" w:eastAsia="zh-CN" w:bidi="ar"/>
        </w:rPr>
        <w:t>（</w:t>
      </w:r>
      <w:r>
        <w:rPr>
          <w:rFonts w:hint="default" w:ascii="仿宋_GB2312" w:hAnsi="Calibri" w:eastAsia="仿宋_GB2312" w:cs="仿宋_GB2312"/>
          <w:color w:val="auto"/>
          <w:sz w:val="24"/>
          <w:lang w:val="en-US" w:eastAsia="zh-CN" w:bidi="ar"/>
        </w:rPr>
        <w:t>5</w:t>
      </w:r>
      <w:r>
        <w:rPr>
          <w:rFonts w:hint="eastAsia" w:ascii="仿宋_GB2312" w:hAnsi="Calibri" w:eastAsia="仿宋_GB2312" w:cs="仿宋_GB2312"/>
          <w:color w:val="auto"/>
          <w:sz w:val="24"/>
          <w:lang w:val="en-US" w:eastAsia="zh-CN" w:bidi="ar"/>
        </w:rPr>
        <w:t>）投标人须具有数据安全服务能力评定资格证书或DCMM数据管理能力成熟度（乙方）等级证书，提供有效期内的证书复印件。</w:t>
      </w:r>
    </w:p>
    <w:p w14:paraId="7DC82071">
      <w:pPr>
        <w:widowControl/>
        <w:spacing w:line="400" w:lineRule="exact"/>
        <w:ind w:firstLine="482" w:firstLineChars="200"/>
        <w:rPr>
          <w:rFonts w:hint="eastAsia" w:ascii="黑体" w:hAnsi="宋体" w:eastAsia="黑体" w:cs="黑体"/>
          <w:b/>
          <w:bCs/>
          <w:sz w:val="24"/>
        </w:rPr>
      </w:pPr>
      <w:r>
        <w:rPr>
          <w:rFonts w:hint="eastAsia" w:ascii="黑体" w:hAnsi="宋体" w:eastAsia="黑体" w:cs="黑体"/>
          <w:b/>
          <w:bCs/>
          <w:sz w:val="24"/>
          <w:lang w:bidi="ar"/>
        </w:rPr>
        <w:t>四、报价资料内容</w:t>
      </w:r>
    </w:p>
    <w:p w14:paraId="575B4654">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1.报价（包括竞标人完成本项目所需的一切费用）。</w:t>
      </w:r>
    </w:p>
    <w:p w14:paraId="1BDEBCD5">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2.投标人企业法人营业执照扫描件（三证合一或五证合一，未完成证照合并的，需提供合法有效的营业执照副本、税务登记证副本、组织机构代码副本）；</w:t>
      </w:r>
    </w:p>
    <w:p w14:paraId="582CC922">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3.法定代表人授权书（非法定代表人直接投标适用）扫描件，供应商为自然人的可不提供；</w:t>
      </w:r>
    </w:p>
    <w:p w14:paraId="33242E08">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4.投标价格；</w:t>
      </w:r>
    </w:p>
    <w:p w14:paraId="2C9E4CE9">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5.特定资格证明扫描件；</w:t>
      </w:r>
    </w:p>
    <w:p w14:paraId="6EEBD51F">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6.项目实施人员情况表(含相关证明材料)；</w:t>
      </w:r>
    </w:p>
    <w:p w14:paraId="750C0826">
      <w:pPr>
        <w:widowControl/>
        <w:spacing w:line="400" w:lineRule="exact"/>
        <w:ind w:firstLine="480" w:firstLineChars="200"/>
        <w:rPr>
          <w:rFonts w:hint="eastAsia" w:ascii="仿宋_GB2312" w:hAnsi="Calibri" w:eastAsia="仿宋_GB2312" w:cs="仿宋_GB2312"/>
          <w:sz w:val="24"/>
        </w:rPr>
      </w:pPr>
      <w:r>
        <w:rPr>
          <w:rFonts w:hint="eastAsia" w:ascii="仿宋_GB2312" w:hAnsi="Calibri" w:eastAsia="仿宋_GB2312" w:cs="仿宋_GB2312"/>
          <w:sz w:val="24"/>
          <w:lang w:bidi="ar"/>
        </w:rPr>
        <w:t>7.投标人认为需要提供的其他文件和资料。</w:t>
      </w:r>
    </w:p>
    <w:p w14:paraId="4CFF4894">
      <w:pPr>
        <w:widowControl/>
        <w:spacing w:line="400" w:lineRule="exact"/>
        <w:ind w:firstLine="482" w:firstLineChars="200"/>
        <w:rPr>
          <w:rFonts w:hint="eastAsia" w:ascii="仿宋_GB2312" w:hAnsi="Calibri" w:eastAsia="仿宋_GB2312" w:cs="仿宋_GB2312"/>
          <w:b/>
          <w:bCs/>
          <w:sz w:val="24"/>
          <w:lang w:bidi="ar"/>
        </w:rPr>
      </w:pPr>
      <w:r>
        <w:rPr>
          <w:rFonts w:hint="eastAsia" w:ascii="仿宋_GB2312" w:hAnsi="Calibri" w:eastAsia="仿宋_GB2312" w:cs="仿宋_GB2312"/>
          <w:b/>
          <w:bCs/>
          <w:sz w:val="24"/>
          <w:lang w:bidi="ar"/>
        </w:rPr>
        <w:t>以上</w:t>
      </w:r>
      <w:r>
        <w:rPr>
          <w:rFonts w:hint="eastAsia" w:ascii="仿宋_GB2312" w:hAnsi="Calibri" w:eastAsia="仿宋_GB2312" w:cs="仿宋_GB2312"/>
          <w:b/>
          <w:bCs/>
          <w:sz w:val="24"/>
          <w:lang w:eastAsia="zh-CN" w:bidi="ar"/>
        </w:rPr>
        <w:t>报价</w:t>
      </w:r>
      <w:r>
        <w:rPr>
          <w:rFonts w:hint="eastAsia" w:ascii="仿宋_GB2312" w:hAnsi="Calibri" w:eastAsia="仿宋_GB2312" w:cs="仿宋_GB2312"/>
          <w:b/>
          <w:bCs/>
          <w:sz w:val="24"/>
          <w:lang w:bidi="ar"/>
        </w:rPr>
        <w:t>资料均需加盖公章</w:t>
      </w:r>
      <w:r>
        <w:rPr>
          <w:rFonts w:hint="eastAsia" w:ascii="仿宋_GB2312" w:hAnsi="Calibri" w:eastAsia="仿宋_GB2312" w:cs="仿宋_GB2312"/>
          <w:b/>
          <w:bCs/>
          <w:sz w:val="24"/>
          <w:lang w:eastAsia="zh-CN" w:bidi="ar"/>
        </w:rPr>
        <w:t>，用文件袋密封，文件袋注明：项目名称、供应商名称、联系人及电话，在封口处盖章邮寄或现场送达采购人</w:t>
      </w:r>
      <w:r>
        <w:rPr>
          <w:rFonts w:hint="eastAsia" w:ascii="仿宋_GB2312" w:hAnsi="Calibri" w:eastAsia="仿宋_GB2312" w:cs="仿宋_GB2312"/>
          <w:b/>
          <w:bCs/>
          <w:sz w:val="24"/>
          <w:lang w:bidi="ar"/>
        </w:rPr>
        <w:t>，报价资料内容不符合要求者视为无效报价。</w:t>
      </w:r>
    </w:p>
    <w:p w14:paraId="64B3E901">
      <w:pPr>
        <w:widowControl/>
        <w:spacing w:line="400" w:lineRule="exact"/>
        <w:ind w:firstLine="482" w:firstLineChars="200"/>
        <w:rPr>
          <w:rFonts w:hint="eastAsia" w:ascii="黑体" w:hAnsi="宋体" w:eastAsia="黑体" w:cs="黑体"/>
          <w:b/>
          <w:bCs/>
          <w:sz w:val="24"/>
          <w:lang w:bidi="ar"/>
        </w:rPr>
      </w:pPr>
      <w:r>
        <w:rPr>
          <w:rFonts w:hint="eastAsia" w:ascii="黑体" w:hAnsi="宋体" w:eastAsia="黑体" w:cs="黑体"/>
          <w:b/>
          <w:bCs/>
          <w:sz w:val="24"/>
          <w:lang w:bidi="ar"/>
        </w:rPr>
        <w:t>五、异常低价评审机制</w:t>
      </w:r>
    </w:p>
    <w:p w14:paraId="5FD8B923">
      <w:pPr>
        <w:widowControl/>
        <w:spacing w:line="400" w:lineRule="exact"/>
        <w:ind w:firstLine="480" w:firstLineChars="200"/>
        <w:rPr>
          <w:rFonts w:hint="eastAsia" w:ascii="仿宋_GB2312" w:hAnsi="Calibri" w:eastAsia="仿宋_GB2312" w:cs="仿宋_GB2312"/>
          <w:color w:val="auto"/>
          <w:sz w:val="24"/>
          <w:lang w:bidi="ar"/>
        </w:rPr>
      </w:pPr>
      <w:r>
        <w:rPr>
          <w:rFonts w:hint="eastAsia" w:ascii="仿宋_GB2312" w:hAnsi="Calibri" w:eastAsia="仿宋_GB2312" w:cs="仿宋_GB2312"/>
          <w:color w:val="auto"/>
          <w:sz w:val="24"/>
          <w:lang w:eastAsia="zh-CN" w:bidi="ar"/>
        </w:rPr>
        <w:t>当</w:t>
      </w:r>
      <w:r>
        <w:rPr>
          <w:rFonts w:hint="eastAsia" w:ascii="仿宋_GB2312" w:hAnsi="Calibri" w:eastAsia="仿宋_GB2312" w:cs="仿宋_GB2312"/>
          <w:color w:val="auto"/>
          <w:sz w:val="24"/>
          <w:lang w:bidi="ar"/>
        </w:rPr>
        <w:t>投标（响应）报价低于全部通过符合性审查供应商投标（响应）报价平均值</w:t>
      </w:r>
      <w:r>
        <w:rPr>
          <w:rFonts w:hint="eastAsia" w:ascii="仿宋_GB2312" w:hAnsi="Calibri" w:eastAsia="仿宋_GB2312" w:cs="仿宋_GB2312"/>
          <w:color w:val="auto"/>
          <w:sz w:val="24"/>
          <w:lang w:val="en-US" w:eastAsia="zh-CN" w:bidi="ar"/>
        </w:rPr>
        <w:t>65</w:t>
      </w:r>
      <w:r>
        <w:rPr>
          <w:rFonts w:hint="eastAsia" w:ascii="仿宋_GB2312" w:hAnsi="Calibri" w:eastAsia="仿宋_GB2312" w:cs="仿宋_GB2312"/>
          <w:color w:val="auto"/>
          <w:sz w:val="24"/>
          <w:lang w:bidi="ar"/>
        </w:rPr>
        <w:t xml:space="preserve">%的，即：投标（响应）报价 &lt; 全部通过符合性审查供应商投标（响应）报价平均值 × </w:t>
      </w:r>
      <w:r>
        <w:rPr>
          <w:rFonts w:hint="eastAsia" w:ascii="仿宋_GB2312" w:hAnsi="Calibri" w:eastAsia="仿宋_GB2312" w:cs="仿宋_GB2312"/>
          <w:color w:val="auto"/>
          <w:sz w:val="24"/>
          <w:lang w:val="en-US" w:eastAsia="zh-CN" w:bidi="ar"/>
        </w:rPr>
        <w:t>65</w:t>
      </w:r>
      <w:r>
        <w:rPr>
          <w:rFonts w:hint="eastAsia" w:ascii="仿宋_GB2312" w:hAnsi="Calibri" w:eastAsia="仿宋_GB2312" w:cs="仿宋_GB2312"/>
          <w:color w:val="auto"/>
          <w:sz w:val="24"/>
          <w:lang w:bidi="ar"/>
        </w:rPr>
        <w:t>%</w:t>
      </w:r>
      <w:r>
        <w:rPr>
          <w:rFonts w:hint="eastAsia" w:ascii="仿宋_GB2312" w:hAnsi="Calibri" w:eastAsia="仿宋_GB2312" w:cs="仿宋_GB2312"/>
          <w:color w:val="auto"/>
          <w:sz w:val="24"/>
          <w:lang w:eastAsia="zh-CN" w:bidi="ar"/>
        </w:rPr>
        <w:t>。局采购小组</w:t>
      </w:r>
      <w:r>
        <w:rPr>
          <w:rFonts w:hint="eastAsia" w:ascii="仿宋_GB2312" w:hAnsi="Calibri" w:eastAsia="仿宋_GB2312" w:cs="仿宋_GB2312"/>
          <w:color w:val="auto"/>
          <w:sz w:val="24"/>
          <w:lang w:bidi="ar"/>
        </w:rPr>
        <w:t>有权启动异常低价审查程序，要求该投标人在规定时间内提供书面说明和相关证明材料（如成本构成分析）。若无法证明其报价合理性，可认定其以低于成本价竞标，否决其投标。</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腾祥沁圆简-W2">
    <w:altName w:val="宋体"/>
    <w:panose1 w:val="01010104010101010101"/>
    <w:charset w:val="86"/>
    <w:family w:val="auto"/>
    <w:pitch w:val="default"/>
    <w:sig w:usb0="00000000" w:usb1="00000000" w:usb2="00000012" w:usb3="00000000" w:csb0="00040001" w:csb1="00000000"/>
  </w:font>
  <w:font w:name="方正公文楷体">
    <w:panose1 w:val="02000500000000000000"/>
    <w:charset w:val="86"/>
    <w:family w:val="auto"/>
    <w:pitch w:val="default"/>
    <w:sig w:usb0="A00002BF" w:usb1="38CF7CFA" w:usb2="00000016" w:usb3="00000000" w:csb0="00040001" w:csb1="00000000"/>
  </w:font>
  <w:font w:name="方正颜宋简体">
    <w:panose1 w:val="02000000000000000000"/>
    <w:charset w:val="86"/>
    <w:family w:val="auto"/>
    <w:pitch w:val="default"/>
    <w:sig w:usb0="800002BF" w:usb1="184F6CFA" w:usb2="00000012" w:usb3="00000000" w:csb0="00040001" w:csb1="00000000"/>
  </w:font>
  <w:font w:name="汉仪劲楷简">
    <w:panose1 w:val="00020600040101010101"/>
    <w:charset w:val="86"/>
    <w:family w:val="auto"/>
    <w:pitch w:val="default"/>
    <w:sig w:usb0="A00002BF" w:usb1="18EF7CFA" w:usb2="00000016"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C8BF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00F45B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00F45B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2MmZjNDI3YjJiNzIyZjAzZmZlMjM0NDBhYjVkOTcifQ=="/>
  </w:docVars>
  <w:rsids>
    <w:rsidRoot w:val="F7EDE7FA"/>
    <w:rsid w:val="02765051"/>
    <w:rsid w:val="0CFFBA20"/>
    <w:rsid w:val="15E95353"/>
    <w:rsid w:val="17D657E6"/>
    <w:rsid w:val="1DEF96DE"/>
    <w:rsid w:val="1EA2C6B0"/>
    <w:rsid w:val="1F769798"/>
    <w:rsid w:val="21CF5A78"/>
    <w:rsid w:val="27FC4469"/>
    <w:rsid w:val="295B3290"/>
    <w:rsid w:val="2A842608"/>
    <w:rsid w:val="2D7FF2CC"/>
    <w:rsid w:val="2DFCA4DC"/>
    <w:rsid w:val="2F2FB431"/>
    <w:rsid w:val="2FA76CA4"/>
    <w:rsid w:val="2FFE028A"/>
    <w:rsid w:val="30EE091B"/>
    <w:rsid w:val="376E2DF8"/>
    <w:rsid w:val="379D9B5E"/>
    <w:rsid w:val="37CDD783"/>
    <w:rsid w:val="37DB4971"/>
    <w:rsid w:val="37FF04E9"/>
    <w:rsid w:val="39C788D4"/>
    <w:rsid w:val="39DAC8F6"/>
    <w:rsid w:val="3BFD31F6"/>
    <w:rsid w:val="3C7F7645"/>
    <w:rsid w:val="3CE55282"/>
    <w:rsid w:val="3CEFAB58"/>
    <w:rsid w:val="3CFF221F"/>
    <w:rsid w:val="3EDB930E"/>
    <w:rsid w:val="3EDF05FE"/>
    <w:rsid w:val="3EDF6B7C"/>
    <w:rsid w:val="3F3BFBF9"/>
    <w:rsid w:val="3FDF3B3D"/>
    <w:rsid w:val="3FFB1895"/>
    <w:rsid w:val="3FFB3B2E"/>
    <w:rsid w:val="45795340"/>
    <w:rsid w:val="463999EF"/>
    <w:rsid w:val="49F4B175"/>
    <w:rsid w:val="4D73233C"/>
    <w:rsid w:val="4D9F8503"/>
    <w:rsid w:val="4E2C7D6D"/>
    <w:rsid w:val="4EFB9406"/>
    <w:rsid w:val="4FBE22BE"/>
    <w:rsid w:val="4FFBCDE3"/>
    <w:rsid w:val="53DA6495"/>
    <w:rsid w:val="53FF98D0"/>
    <w:rsid w:val="57579604"/>
    <w:rsid w:val="57CFC462"/>
    <w:rsid w:val="57FE2136"/>
    <w:rsid w:val="58E95F87"/>
    <w:rsid w:val="5B3F8DE2"/>
    <w:rsid w:val="5BCEAC52"/>
    <w:rsid w:val="5BFE68B9"/>
    <w:rsid w:val="5C7B5720"/>
    <w:rsid w:val="5D37F478"/>
    <w:rsid w:val="5E3F0191"/>
    <w:rsid w:val="5FDE44D5"/>
    <w:rsid w:val="5FDF0C7E"/>
    <w:rsid w:val="5FF61C2D"/>
    <w:rsid w:val="5FFB574E"/>
    <w:rsid w:val="5FFC5666"/>
    <w:rsid w:val="5FFDD31C"/>
    <w:rsid w:val="5FFEDF26"/>
    <w:rsid w:val="627B3FDD"/>
    <w:rsid w:val="64D6EBA6"/>
    <w:rsid w:val="660DF089"/>
    <w:rsid w:val="67BFA76B"/>
    <w:rsid w:val="67BFD0B9"/>
    <w:rsid w:val="67DB4DC9"/>
    <w:rsid w:val="67F3E5F3"/>
    <w:rsid w:val="67F51E74"/>
    <w:rsid w:val="67F7F3BD"/>
    <w:rsid w:val="69FEA0F1"/>
    <w:rsid w:val="6A4FFDAD"/>
    <w:rsid w:val="6AEEF5EC"/>
    <w:rsid w:val="6BBD7FD0"/>
    <w:rsid w:val="6CEFCC53"/>
    <w:rsid w:val="6DEFD63A"/>
    <w:rsid w:val="6E3FFCB9"/>
    <w:rsid w:val="6E93D31F"/>
    <w:rsid w:val="6EC3DA84"/>
    <w:rsid w:val="6EDBB473"/>
    <w:rsid w:val="6FCF383F"/>
    <w:rsid w:val="6FDA7D23"/>
    <w:rsid w:val="6FF35C85"/>
    <w:rsid w:val="6FFE15D8"/>
    <w:rsid w:val="6FFEF6FE"/>
    <w:rsid w:val="721F1536"/>
    <w:rsid w:val="72FE2340"/>
    <w:rsid w:val="737219FD"/>
    <w:rsid w:val="73ABC702"/>
    <w:rsid w:val="73B714DD"/>
    <w:rsid w:val="73E22FC8"/>
    <w:rsid w:val="75EF4398"/>
    <w:rsid w:val="75FDE01A"/>
    <w:rsid w:val="76F6495E"/>
    <w:rsid w:val="76FFB465"/>
    <w:rsid w:val="773B230B"/>
    <w:rsid w:val="77AFD574"/>
    <w:rsid w:val="77DF789F"/>
    <w:rsid w:val="77F70DF9"/>
    <w:rsid w:val="77FAD355"/>
    <w:rsid w:val="77FBE8E6"/>
    <w:rsid w:val="78D5C63F"/>
    <w:rsid w:val="790A7405"/>
    <w:rsid w:val="79DCD01D"/>
    <w:rsid w:val="79FA9079"/>
    <w:rsid w:val="7ABFD4CF"/>
    <w:rsid w:val="7AEBE51B"/>
    <w:rsid w:val="7AF34E0E"/>
    <w:rsid w:val="7B1665B2"/>
    <w:rsid w:val="7B739C81"/>
    <w:rsid w:val="7B7C8EDC"/>
    <w:rsid w:val="7BABC398"/>
    <w:rsid w:val="7BFD7032"/>
    <w:rsid w:val="7CBFD932"/>
    <w:rsid w:val="7D473132"/>
    <w:rsid w:val="7D4C1FE4"/>
    <w:rsid w:val="7DBDC716"/>
    <w:rsid w:val="7DBE4152"/>
    <w:rsid w:val="7DDFE8A9"/>
    <w:rsid w:val="7DEA626A"/>
    <w:rsid w:val="7DFB020E"/>
    <w:rsid w:val="7DFBBB6C"/>
    <w:rsid w:val="7E1D5E8F"/>
    <w:rsid w:val="7E3C60E8"/>
    <w:rsid w:val="7E3F86CD"/>
    <w:rsid w:val="7E598FCC"/>
    <w:rsid w:val="7ED3041E"/>
    <w:rsid w:val="7EF5C52C"/>
    <w:rsid w:val="7EF7FD41"/>
    <w:rsid w:val="7EF9D1F4"/>
    <w:rsid w:val="7F6B25A3"/>
    <w:rsid w:val="7F6EF9DF"/>
    <w:rsid w:val="7F7E0DFB"/>
    <w:rsid w:val="7F7F871E"/>
    <w:rsid w:val="7F7FF960"/>
    <w:rsid w:val="7FB11371"/>
    <w:rsid w:val="7FB752F5"/>
    <w:rsid w:val="7FB75C50"/>
    <w:rsid w:val="7FCE110D"/>
    <w:rsid w:val="7FE49490"/>
    <w:rsid w:val="7FE73842"/>
    <w:rsid w:val="7FEBB017"/>
    <w:rsid w:val="7FEEFA7E"/>
    <w:rsid w:val="7FFB1041"/>
    <w:rsid w:val="7FFF3967"/>
    <w:rsid w:val="7FFF8618"/>
    <w:rsid w:val="8DAE32C5"/>
    <w:rsid w:val="8DFE7FAA"/>
    <w:rsid w:val="999EDCA1"/>
    <w:rsid w:val="99FFC335"/>
    <w:rsid w:val="9ACB6FA5"/>
    <w:rsid w:val="9BFE188C"/>
    <w:rsid w:val="9FEF7935"/>
    <w:rsid w:val="A78A8B78"/>
    <w:rsid w:val="A8FF5EC0"/>
    <w:rsid w:val="ADEF8BAC"/>
    <w:rsid w:val="ADF63297"/>
    <w:rsid w:val="AE53A427"/>
    <w:rsid w:val="AFACBAE1"/>
    <w:rsid w:val="AFBD6AFE"/>
    <w:rsid w:val="AFEFD46B"/>
    <w:rsid w:val="B2FF7D04"/>
    <w:rsid w:val="B4B9A199"/>
    <w:rsid w:val="B4FFB22C"/>
    <w:rsid w:val="B66FC8F5"/>
    <w:rsid w:val="B75CBFEA"/>
    <w:rsid w:val="B76B4D90"/>
    <w:rsid w:val="B77BE1AD"/>
    <w:rsid w:val="B77EA793"/>
    <w:rsid w:val="B7DFD7B1"/>
    <w:rsid w:val="B7F7974C"/>
    <w:rsid w:val="B7FC28B7"/>
    <w:rsid w:val="B9DA5B60"/>
    <w:rsid w:val="B9F5C7A2"/>
    <w:rsid w:val="BB7741DA"/>
    <w:rsid w:val="BD7F77A4"/>
    <w:rsid w:val="BDDEE6C5"/>
    <w:rsid w:val="BE7BF075"/>
    <w:rsid w:val="BEB28629"/>
    <w:rsid w:val="BEFB861A"/>
    <w:rsid w:val="BF96D01B"/>
    <w:rsid w:val="BFBEA2C0"/>
    <w:rsid w:val="BFE32815"/>
    <w:rsid w:val="BFF74612"/>
    <w:rsid w:val="BFFBD381"/>
    <w:rsid w:val="C36B4E6D"/>
    <w:rsid w:val="C37C1395"/>
    <w:rsid w:val="C6770FC1"/>
    <w:rsid w:val="C7BEBD65"/>
    <w:rsid w:val="C7F869D4"/>
    <w:rsid w:val="C97E5C4B"/>
    <w:rsid w:val="CFBE73C9"/>
    <w:rsid w:val="CFDBADB5"/>
    <w:rsid w:val="CFF36ADD"/>
    <w:rsid w:val="D8736C47"/>
    <w:rsid w:val="DD537231"/>
    <w:rsid w:val="DDBD4FE5"/>
    <w:rsid w:val="DDEDB639"/>
    <w:rsid w:val="DE5E4405"/>
    <w:rsid w:val="DEAD10D7"/>
    <w:rsid w:val="DEE35B26"/>
    <w:rsid w:val="DEFD7023"/>
    <w:rsid w:val="DF5D7BFF"/>
    <w:rsid w:val="DF886BE2"/>
    <w:rsid w:val="DFF7C984"/>
    <w:rsid w:val="DFFD0A12"/>
    <w:rsid w:val="DFFF29F0"/>
    <w:rsid w:val="E7EB2AA6"/>
    <w:rsid w:val="E7F74B08"/>
    <w:rsid w:val="E7F78D95"/>
    <w:rsid w:val="E7F9DEF7"/>
    <w:rsid w:val="E7FB1C7E"/>
    <w:rsid w:val="E9EBDF4C"/>
    <w:rsid w:val="EBEFE7B9"/>
    <w:rsid w:val="EBFB7406"/>
    <w:rsid w:val="ECFFC9BC"/>
    <w:rsid w:val="EDF9B3FC"/>
    <w:rsid w:val="EE17A715"/>
    <w:rsid w:val="EEAF2608"/>
    <w:rsid w:val="EECDD323"/>
    <w:rsid w:val="EEF9DAA7"/>
    <w:rsid w:val="EF3D02C9"/>
    <w:rsid w:val="EF3F8820"/>
    <w:rsid w:val="EFBF5B6E"/>
    <w:rsid w:val="EFD719F6"/>
    <w:rsid w:val="EFEA6146"/>
    <w:rsid w:val="EFFB4482"/>
    <w:rsid w:val="EFFD7AD4"/>
    <w:rsid w:val="EFFE12E3"/>
    <w:rsid w:val="EFFF2207"/>
    <w:rsid w:val="F0FFEDBE"/>
    <w:rsid w:val="F3A7CDBA"/>
    <w:rsid w:val="F3ED237A"/>
    <w:rsid w:val="F3EF79B4"/>
    <w:rsid w:val="F4BFB715"/>
    <w:rsid w:val="F56D7145"/>
    <w:rsid w:val="F69F6422"/>
    <w:rsid w:val="F6BE1FFA"/>
    <w:rsid w:val="F6EF312D"/>
    <w:rsid w:val="F7BFE423"/>
    <w:rsid w:val="F7DF3EC0"/>
    <w:rsid w:val="F7EDE7FA"/>
    <w:rsid w:val="F7F5378B"/>
    <w:rsid w:val="F7FD36D2"/>
    <w:rsid w:val="F8FE404E"/>
    <w:rsid w:val="F95DE230"/>
    <w:rsid w:val="FA3B384B"/>
    <w:rsid w:val="FAB945CD"/>
    <w:rsid w:val="FAFE595D"/>
    <w:rsid w:val="FB3FF052"/>
    <w:rsid w:val="FB56D43B"/>
    <w:rsid w:val="FB7EF369"/>
    <w:rsid w:val="FB7F7F89"/>
    <w:rsid w:val="FBEE47BD"/>
    <w:rsid w:val="FCAB9D41"/>
    <w:rsid w:val="FCC7E3F2"/>
    <w:rsid w:val="FCF7C0D5"/>
    <w:rsid w:val="FD6D034F"/>
    <w:rsid w:val="FD7E9A92"/>
    <w:rsid w:val="FDBBEDEE"/>
    <w:rsid w:val="FDD7DF37"/>
    <w:rsid w:val="FDEB63F7"/>
    <w:rsid w:val="FEBFFBF4"/>
    <w:rsid w:val="FECB46FD"/>
    <w:rsid w:val="FED580CE"/>
    <w:rsid w:val="FEEBAB14"/>
    <w:rsid w:val="FEFF6328"/>
    <w:rsid w:val="FEFF8B9E"/>
    <w:rsid w:val="FF3E1A31"/>
    <w:rsid w:val="FF7F4CAA"/>
    <w:rsid w:val="FFAF7D9F"/>
    <w:rsid w:val="FFB8C86B"/>
    <w:rsid w:val="FFBFF6DA"/>
    <w:rsid w:val="FFCF8FC7"/>
    <w:rsid w:val="FFDF07D1"/>
    <w:rsid w:val="FFE44839"/>
    <w:rsid w:val="FFE76A43"/>
    <w:rsid w:val="FFF70D1E"/>
    <w:rsid w:val="FFFD16F7"/>
    <w:rsid w:val="FFFF2514"/>
    <w:rsid w:val="FFFFEE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Body text (5)1"/>
    <w:basedOn w:val="1"/>
    <w:qFormat/>
    <w:uiPriority w:val="0"/>
    <w:pPr>
      <w:shd w:val="clear" w:color="auto" w:fill="FFFFFF"/>
      <w:spacing w:before="300" w:after="300" w:line="0" w:lineRule="atLeast"/>
      <w:jc w:val="distribute"/>
    </w:pPr>
    <w:rPr>
      <w:rFonts w:ascii="宋体" w:hAnsi="宋体" w:eastAsia="宋体" w:cs="宋体"/>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xjkp\&#19979;&#36733;\&#28246;&#21335;&#30465;&#32479;&#35745;&#23616;&#30005;&#23376;&#37038;&#20214;&#31995;&#32479;&#21644;&#24037;&#20316;&#20449;&#24687;&#32593;&#65288;&#20869;&#32593;&#65289;&#31995;&#32479;&#31561;&#20445;&#27979;&#35780;&#26381;&#21153;&#37319;&#36141;&#38656;&#27714;(9.2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湖南省统计局电子邮件系统和工作信息网（内网）系统等保测评服务采购需求(9.26).dot</Template>
  <Pages>5</Pages>
  <Words>3499</Words>
  <Characters>3655</Characters>
  <Lines>0</Lines>
  <Paragraphs>0</Paragraphs>
  <TotalTime>8</TotalTime>
  <ScaleCrop>false</ScaleCrop>
  <LinksUpToDate>false</LinksUpToDate>
  <CharactersWithSpaces>3671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2023-09-30T07:35:00Z</dcterms:created>
  <dc:creator>xjkp</dc:creator>
  <cp:lastModifiedBy>宣传中心</cp:lastModifiedBy>
  <dcterms:modified xsi:type="dcterms:W3CDTF">2026-08-03T07:16:42Z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50E226BB2B254B2A88F27BEEAFF37584_13</vt:lpwstr>
  </property>
</Properties>
</file>