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5907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p>
    <w:p w14:paraId="70CC7BB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p>
    <w:p w14:paraId="3902CCE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湖南省统计局《湖南统计年鉴2026》</w:t>
      </w:r>
    </w:p>
    <w:p w14:paraId="6A9A7C1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印刷服务采购公告</w:t>
      </w:r>
    </w:p>
    <w:p w14:paraId="236DE501">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p>
    <w:p w14:paraId="0F88BA0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为做好《湖南统计年鉴2026》编辑出版工作，经研究，</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我局拟通过公开公告询价方式采购《湖南统计年鉴2026》印刷项目，</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诚邀</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符合资格条件的供应商</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参与本次</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采购，现将相关事项公告如下：</w:t>
      </w:r>
    </w:p>
    <w:p w14:paraId="26523B2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一、项目名称</w:t>
      </w:r>
    </w:p>
    <w:p w14:paraId="6D4BCFC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《湖南统计年鉴2026》印刷服务</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w:t>
      </w:r>
    </w:p>
    <w:p w14:paraId="35B2816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二、经费预算</w:t>
      </w:r>
    </w:p>
    <w:p w14:paraId="09B5C64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 w:cs="Times New Roman"/>
          <w:color w:val="000000" w:themeColor="text1"/>
          <w:sz w:val="32"/>
          <w:szCs w:val="32"/>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万元（含税</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包干总价</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w:t>
      </w:r>
    </w:p>
    <w:p w14:paraId="45DE295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三、服务内容</w:t>
      </w:r>
    </w:p>
    <w:p w14:paraId="4C2CBB83">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 w:cs="Times New Roman"/>
          <w:color w:val="000000" w:themeColor="text1"/>
          <w:sz w:val="32"/>
          <w:szCs w:val="32"/>
          <w:lang w:val="en-US" w:eastAsia="zh-CN"/>
          <w14:textFill>
            <w14:solidFill>
              <w14:schemeClr w14:val="tx1"/>
            </w14:solidFill>
          </w14:textFill>
        </w:rPr>
        <w:t>《湖南统计年鉴2026》设计、排版和印刷，总印数1500册。</w:t>
      </w:r>
    </w:p>
    <w:p w14:paraId="08D55147">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四、相关要求</w:t>
      </w:r>
    </w:p>
    <w:p w14:paraId="6386D577">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t>（一）供应商资格条件</w:t>
      </w:r>
    </w:p>
    <w:p w14:paraId="569717DE">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1. 在中华人民共和国境内依法注册设立，具备独立法人资格的机构或组织，有固定的办公场所和必要的设施条件，具备《政府采购法》第二十二条所规定的条件。</w:t>
      </w:r>
    </w:p>
    <w:p w14:paraId="09B9992B">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2. 应具有独立承担民事责任的能力，有依法缴纳税收和社会保障资金的良好记录。近</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年内无重大违法记录，社会信誉良好。</w:t>
      </w:r>
    </w:p>
    <w:p w14:paraId="5B22D0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eastAsia" w:ascii="Times New Roman" w:hAnsi="Times New Roman" w:eastAsia="仿宋"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14:textFill>
            <w14:solidFill>
              <w14:schemeClr w14:val="tx1"/>
            </w14:solidFill>
          </w14:textFill>
        </w:rPr>
        <w:t>. </w:t>
      </w:r>
      <w:r>
        <w:rPr>
          <w:rFonts w:hint="eastAsia" w:ascii="Times New Roman" w:hAnsi="Times New Roman" w:eastAsia="仿宋" w:cs="Times New Roman"/>
          <w:color w:val="000000" w:themeColor="text1"/>
          <w:sz w:val="32"/>
          <w:szCs w:val="32"/>
          <w:lang w:eastAsia="zh-CN"/>
          <w14:textFill>
            <w14:solidFill>
              <w14:schemeClr w14:val="tx1"/>
            </w14:solidFill>
          </w14:textFill>
        </w:rPr>
        <w:t>本项目</w:t>
      </w:r>
      <w:r>
        <w:rPr>
          <w:rFonts w:hint="default" w:ascii="Times New Roman" w:hAnsi="Times New Roman" w:eastAsia="仿宋" w:cs="Times New Roman"/>
          <w:color w:val="000000" w:themeColor="text1"/>
          <w:sz w:val="32"/>
          <w:szCs w:val="32"/>
          <w14:textFill>
            <w14:solidFill>
              <w14:schemeClr w14:val="tx1"/>
            </w14:solidFill>
          </w14:textFill>
        </w:rPr>
        <w:t>不接受联合体投标，不得转包、分包本项目服务。</w:t>
      </w:r>
    </w:p>
    <w:p w14:paraId="0F1D40C4">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t>（二）印刷要求</w:t>
      </w:r>
    </w:p>
    <w:p w14:paraId="08407863">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sz w:val="32"/>
          <w:szCs w:val="32"/>
          <w:lang w:val="en-US" w:eastAsia="zh-CN"/>
          <w14:textFill>
            <w14:solidFill>
              <w14:schemeClr w14:val="tx1"/>
            </w14:solidFill>
          </w14:textFill>
        </w:rPr>
        <w:t>《湖南统计年鉴2026》为A4开本，即210mm×297mm，预计约700个版面，其中黑白版面688个（以最终版面为准），彩色版面12个（以最终版面为准），全书中英文对照。</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承印单位除了交付《湖南统计年鉴2026》成品书，还要提供符合要求的数字样书。具体要求如下：</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br w:type="textWrapping"/>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1. 纸张：黑白版面采用80G象牙白双胶，彩色版面采用160G进口出色映画，环衬特种纸。</w:t>
      </w:r>
    </w:p>
    <w:p w14:paraId="5B5B5AD8">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2. 封面：封面特种纸，过油，局部UV，采用3个毫米的彩色硬板纸平脊式精品包装。</w:t>
      </w:r>
    </w:p>
    <w:p w14:paraId="7E2AB36D">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3. 版面：黑白版面由湖南省统计局提供有关文件（Word文件和Excel表），承印单位负责排版，内芯标灰部分的颜色和计量单位排版均参照《湖南统计年鉴2025》和《中国统计年鉴》。封面封底、彩色版面、目录页、章节扉页均由承印单位负责设计制作。</w:t>
      </w:r>
    </w:p>
    <w:p w14:paraId="03CC4263">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4. 装订和印刷：书壳平服、平整、四角垂直、无翘曲，飘口技术要求3.5±0.5mm。丝带位置居中，丝带长度要求比书芯对角线长度长20±5mm。书脊上书背字与往年相比，无平移（≤2.0mm），不存在歪斜（小于等于1.5mm）；压槽槽线平直，槽面无破裂、气泡等。封面、彩图等彩色印刷部分的色相准确，不存在偏色明显问题。全书整体印刷墨色要求均匀、前后墨色不存在明显差异。内芯装订不得少于16针，吸塑，书芯纸张不得出现色花、抽涨、褶皱、破损、透印等现象。书芯、书壳与环衬订联牢固，无散页、掉页、开裂、脱胶；衬粘裱平整，无褶皱。要求三面裁切口光滑整齐，无严重刀花、起毛等，不得出现掉页、散页、凸出等现象。全书页码顺序正确，无多贴、少贴、倒贴等。跨页（年鉴跨页表）接版无误差，不能影响阅读、辨识。书芯成品裁切中不得出现有效图文被裁切的现象。</w:t>
      </w:r>
    </w:p>
    <w:p w14:paraId="35272404">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5. 封底：封底背面设计一个卡槽，用于存放光盘。设计式样参照《湖南统计年鉴2025》。</w:t>
      </w:r>
    </w:p>
    <w:p w14:paraId="3E59169C">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6. 数字样书：承印单位交付纸书后，需在5日内提供《湖南统计年鉴2026》的数字样书，具体要求如下：</w:t>
      </w:r>
    </w:p>
    <w:p w14:paraId="4FE5DD93">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①图书文件格式为PDF，PDF文件应为双层PDF或矢量PDF。数字版图书与实体书一致，每册书建立一个独立文件夹，文件夹命名为“书名”，文件夹中内芯文件命名为“书名.pdf”，封面文件命名为“封面.jpg”。</w:t>
      </w:r>
    </w:p>
    <w:p w14:paraId="5EFA5FFF">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②PDF文件通用要求。PDF文件与实体书保持一致，无缺页、重页，页码顺序颠倒等情况发生；PDF文件初始页面定位为首页（即封面），放大率100%，每个页面尺寸大小统一；PDF文件需制作书签，书签的顺序与实体书目录一致；PDF文件中文字编码正确，支持正确检索和复制，外文数字、标点、符号等均应采用半角；PDF文件中图像文字使用黑白图，灰度图像使用灰度图，彩色图像使用彩色图。</w:t>
      </w:r>
    </w:p>
    <w:p w14:paraId="38CAA77E">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③双层PDF文件要求。双层PDF文件中图像格式为JPEG，压缩后符合JBIG2、JPEG2000标准，精度为300DPI；双层PDF文件的图像层和文字层的文字对位准确；双层PDF文件综合差错率小于万分之一。</w:t>
      </w:r>
    </w:p>
    <w:p w14:paraId="6850DEBF">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④封面图片内容需清晰完整，精度不低于300DPI，命名为“封面.jpg”。</w:t>
      </w:r>
    </w:p>
    <w:p w14:paraId="58EA2F1B">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7. 时间：《湖南统计年鉴2026》时效性要求高，承印单位必须在湖南省统计局交付电子文档之日起（文档交接时间以签字为准）：第一次编辑排版五日内完成，第一校、第二校、第三校后的排版工作均要在交付稿件后的三日内完成，每次排版后均需打印三套纸质清样用于校稿。经湖南省统计局审核认可印刷后，两日内送审五本样书，样书验收合格、通知印刷的25日内交付全部书籍。</w:t>
      </w:r>
    </w:p>
    <w:p w14:paraId="52BEAC05">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8. 交付地点：承印单位负责《湖南统计年鉴2026》（约860册）的邮寄事项，邮寄地址由湖南省统计局提供，邮寄费用预算5000元（该费用不包含在印刷的9万元内），由快递公司开具发票、附快递明细、湖南省统计局报销。其余书籍送至省政府机关二院六办公楼。外包装采用每10本为一箱的纸箱包装，且纸箱外壳需注明“湖南统计年鉴2026”字样。</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br w:type="textWrapping"/>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t>（三）保密技术要求</w:t>
      </w:r>
    </w:p>
    <w:p w14:paraId="6E6CDD4D">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签订保密专项协议，</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年鉴出版前</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不得泄露相关资料</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内容</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p>
    <w:p w14:paraId="36866256">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lang w:val="en-US" w:eastAsia="zh-CN"/>
          <w14:textFill>
            <w14:solidFill>
              <w14:schemeClr w14:val="tx1"/>
            </w14:solidFill>
          </w14:textFill>
        </w:rPr>
        <w:t>（四）其他要求</w:t>
      </w:r>
    </w:p>
    <w:p w14:paraId="78A7D42F">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1</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因年鉴编辑的时效性和专业性很强</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只选择排版及印刷地点在长沙市的印刷公司。</w:t>
      </w:r>
    </w:p>
    <w:p w14:paraId="4E107999">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承印单位必须积极配合做好排版工作，用专业排版软件进行排版和提供规范的PDF文件，并且严格按照排版时间安排，即在</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省统计局交付电子文档之日起（文档交接时间以签字为准）：第一次编辑排版五</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内完成，第一校、第二校、第三校后的排版工作均要在交付稿件后的三日内完成。如果因为自身原因，在四次排版中不能按时交付符合要求的文件，每延误一</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省统计局有权按照每</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扣减4‰的印刷费来结算最终费用，延误超过5</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省统计局有权解除合同。</w:t>
      </w:r>
    </w:p>
    <w:p w14:paraId="7AA7DDD5">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承印单位提供的清样、纸质样书、数字样书等若与要求不符，</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省统计局有权要求立即纠正，需要返工的承印单位应予以返工，由此涉及到的经济与时间损失均由承印单位负责。在承印单位装订成书之前，</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省统计局有权要求承印单位修改发现的错误。</w:t>
      </w:r>
    </w:p>
    <w:p w14:paraId="0A1406E3">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4</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承印单位必须严格按照</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“（二）印刷要求”</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进行排版印刷等工作，如果成书质量检测不符合要求，</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省统计局有权要求承印单位重印，由此涉及到的经济与时间损失均由承印单位负责，每延误一</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省统计局有权按照每</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扣减4‰的印刷费来结算最终费用，延误超过20</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省统计局有权解除合同。</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合同解除后，湖南省统计局有权委托第三方印刷，由此增加的差价及造成的损失由承印单位负责。</w:t>
      </w:r>
    </w:p>
    <w:p w14:paraId="573B0031">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5. 承印单位禁止擅自转包分包。</w:t>
      </w:r>
    </w:p>
    <w:p w14:paraId="2D10F5D1">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6. 承印单位在本项目中形成的设计作品、排版文件、数字样书等成果的知识产权归湖南省统计局所有，承印单位不得擅自使用或允许第三方使用。</w:t>
      </w:r>
    </w:p>
    <w:p w14:paraId="346C2430">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五、合同履行期限</w:t>
      </w:r>
    </w:p>
    <w:p w14:paraId="07615F92">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638" w:leftChars="304" w:right="0" w:rightChars="0" w:firstLine="0" w:firstLineChars="0"/>
        <w:jc w:val="both"/>
        <w:textAlignment w:val="auto"/>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自合同签订之日起</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3个月</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内完成全部</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印刷</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工作</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br w:type="textWrapping"/>
      </w: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六、响应文件</w:t>
      </w:r>
    </w:p>
    <w:p w14:paraId="66E325F0">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楷体" w:hAnsi="楷体" w:eastAsia="楷体" w:cs="楷体"/>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楷体" w:hAnsi="楷体" w:eastAsia="楷体" w:cs="楷体"/>
          <w:i w:val="0"/>
          <w:iCs w:val="0"/>
          <w:caps w:val="0"/>
          <w:color w:val="000000" w:themeColor="text1"/>
          <w:spacing w:val="0"/>
          <w:sz w:val="32"/>
          <w:szCs w:val="32"/>
          <w:highlight w:val="none"/>
          <w:shd w:val="clear" w:fill="FFFFFF"/>
          <w:lang w:val="en-US" w:eastAsia="zh-CN"/>
          <w14:textFill>
            <w14:solidFill>
              <w14:schemeClr w14:val="tx1"/>
            </w14:solidFill>
          </w14:textFill>
        </w:rPr>
        <w:t>（一）资格审查响应文件</w:t>
      </w:r>
    </w:p>
    <w:p w14:paraId="12056277">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1</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法定代表人身份证明</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，营业执照，</w:t>
      </w: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授权委托书（委托投标时提供）</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w:t>
      </w: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br w:type="textWrapping"/>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 xml:space="preserve">    2</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印刷经营许可证（含出版物）;</w:t>
      </w:r>
    </w:p>
    <w:p w14:paraId="14700576">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3</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近6个月内任意1个月的缴税证明；</w:t>
      </w:r>
    </w:p>
    <w:p w14:paraId="3965EE80">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4</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近6个月内任意1个月的社保缴纳证明；</w:t>
      </w:r>
    </w:p>
    <w:p w14:paraId="37A962E1">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5</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近3年</w:t>
      </w: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无重大违法记录</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声明</w:t>
      </w: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函</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w:t>
      </w:r>
    </w:p>
    <w:p w14:paraId="519CBFF1">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6</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信用信息查询截图</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w:t>
      </w:r>
    </w:p>
    <w:p w14:paraId="2B623F9D">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7</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非联合体声明函。</w:t>
      </w:r>
    </w:p>
    <w:p w14:paraId="50D175A7">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资格审查响应文件要求详见附件</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2</w:t>
      </w:r>
      <w:r>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w:t>
      </w:r>
    </w:p>
    <w:p w14:paraId="7A260AAB">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楷体" w:hAnsi="楷体" w:eastAsia="楷体" w:cs="楷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楷体" w:hAnsi="楷体" w:eastAsia="楷体" w:cs="楷体"/>
          <w:i w:val="0"/>
          <w:iCs w:val="0"/>
          <w:caps w:val="0"/>
          <w:color w:val="000000" w:themeColor="text1"/>
          <w:spacing w:val="0"/>
          <w:sz w:val="32"/>
          <w:szCs w:val="32"/>
          <w:shd w:val="clear" w:fill="FFFFFF"/>
          <w:lang w:val="en-US" w:eastAsia="zh-CN"/>
          <w14:textFill>
            <w14:solidFill>
              <w14:schemeClr w14:val="tx1"/>
            </w14:solidFill>
          </w14:textFill>
        </w:rPr>
        <w:t>（二）商务技术证明材料</w:t>
      </w:r>
    </w:p>
    <w:p w14:paraId="21F99A45">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1</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技术工人的印刷类职业资格证明材料，为印前制作、印刷、装订各1人的证明材料。须提供相关证书复印件以及投标单位为其缴纳的2026年1月以来任意连续3个月的社保证明复印件。</w:t>
      </w:r>
    </w:p>
    <w:p w14:paraId="5108F7D5">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2</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有关证书复印件。主要是：质量管理体系认证证书、环境管理体系认证证书、职业健康管理体系认证证书、G7或C9专业色彩管理体系认证证书、中国环境标志产品认证证书。</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br w:type="textWrapping"/>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 xml:space="preserve">    3</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设备证明材料。包括CTP直接制版设备、对开八色印刷机、对开四色印刷机、对开单色（或双色）印刷机。须提供投标人厂房内设备安装完成的实景照片和购买设备的发票复印件。</w:t>
      </w:r>
    </w:p>
    <w:p w14:paraId="4B9BB1D2">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楷体" w:hAnsi="楷体" w:eastAsia="楷体" w:cs="楷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楷体" w:hAnsi="楷体" w:eastAsia="楷体" w:cs="楷体"/>
          <w:i w:val="0"/>
          <w:iCs w:val="0"/>
          <w:caps w:val="0"/>
          <w:color w:val="000000" w:themeColor="text1"/>
          <w:spacing w:val="0"/>
          <w:sz w:val="32"/>
          <w:szCs w:val="32"/>
          <w:shd w:val="clear" w:fill="FFFFFF"/>
          <w:lang w:val="en-US" w:eastAsia="zh-CN"/>
          <w14:textFill>
            <w14:solidFill>
              <w14:schemeClr w14:val="tx1"/>
            </w14:solidFill>
          </w14:textFill>
        </w:rPr>
        <w:t>（三）其他响应文件</w:t>
      </w:r>
    </w:p>
    <w:p w14:paraId="2F9A3E9E">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638" w:leftChars="304" w:right="0" w:rightChars="0" w:firstLine="0" w:firstLineChars="0"/>
        <w:jc w:val="both"/>
        <w:textAlignment w:val="auto"/>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1</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纸样，特种纸3种，内芯纸2种；</w:t>
      </w:r>
    </w:p>
    <w:p w14:paraId="09041F31">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样品，精装书2种各1本。图书</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要求为：公开出版物，全书页面不少于</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6</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00页，书内数据表占全书的比重为8</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5</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%及以上，数据表为中英文对照表。</w:t>
      </w:r>
    </w:p>
    <w:p w14:paraId="4F7B5EB0">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项目报价明细表</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p>
    <w:p w14:paraId="5153B5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color w:val="000000" w:themeColor="text1"/>
          <w:sz w:val="32"/>
          <w:szCs w:val="32"/>
          <w:lang w:eastAsia="zh-CN"/>
          <w14:textFill>
            <w14:solidFill>
              <w14:schemeClr w14:val="tx1"/>
            </w14:solidFill>
          </w14:textFill>
        </w:rPr>
        <w:t>所有响应文件请按以上顺序归类，并统一编排目录（</w:t>
      </w:r>
      <w:r>
        <w:rPr>
          <w:rFonts w:hint="default" w:ascii="Times New Roman" w:hAnsi="Times New Roman" w:eastAsia="仿宋" w:cs="Times New Roman"/>
          <w:color w:val="000000" w:themeColor="text1"/>
          <w:sz w:val="32"/>
          <w:szCs w:val="32"/>
          <w14:textFill>
            <w14:solidFill>
              <w14:schemeClr w14:val="tx1"/>
            </w14:solidFill>
          </w14:textFill>
        </w:rPr>
        <w:t>样书单独密封递交</w:t>
      </w:r>
      <w:r>
        <w:rPr>
          <w:rFonts w:hint="eastAsia" w:ascii="Times New Roman" w:hAnsi="Times New Roman" w:eastAsia="仿宋" w:cs="Times New Roman"/>
          <w:color w:val="000000" w:themeColor="text1"/>
          <w:sz w:val="32"/>
          <w:szCs w:val="32"/>
          <w:lang w:eastAsia="zh-CN"/>
          <w14:textFill>
            <w14:solidFill>
              <w14:schemeClr w14:val="tx1"/>
            </w14:solidFill>
          </w14:textFill>
        </w:rPr>
        <w:t>）。整理后</w:t>
      </w:r>
      <w:r>
        <w:rPr>
          <w:rFonts w:hint="default" w:ascii="Times New Roman" w:hAnsi="Times New Roman" w:eastAsia="仿宋" w:cs="Times New Roman"/>
          <w:color w:val="000000" w:themeColor="text1"/>
          <w:sz w:val="32"/>
          <w:szCs w:val="32"/>
          <w14:textFill>
            <w14:solidFill>
              <w14:schemeClr w14:val="tx1"/>
            </w14:solidFill>
          </w14:textFill>
        </w:rPr>
        <w:t>密封装订</w:t>
      </w:r>
      <w:r>
        <w:rPr>
          <w:rFonts w:hint="eastAsia"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加盖单位公章</w:t>
      </w:r>
      <w:r>
        <w:rPr>
          <w:rFonts w:hint="eastAsia" w:ascii="Times New Roman" w:hAnsi="Times New Roman" w:eastAsia="仿宋" w:cs="Times New Roman"/>
          <w:color w:val="000000" w:themeColor="text1"/>
          <w:sz w:val="32"/>
          <w:szCs w:val="32"/>
          <w:lang w:eastAsia="zh-CN"/>
          <w14:textFill>
            <w14:solidFill>
              <w14:schemeClr w14:val="tx1"/>
            </w14:solidFill>
          </w14:textFill>
        </w:rPr>
        <w:t>，逾期送达、资料不满足资格审查要求的，视为无效响应文件。</w:t>
      </w:r>
    </w:p>
    <w:p w14:paraId="0DDA21C1">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七、采购评选方式</w:t>
      </w:r>
    </w:p>
    <w:p w14:paraId="7171F520">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在对供应商资格审查合格后，再</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采用综合评分法进行评审。评审小组将重点对</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供应商</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的</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报价、综合实力等进行</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量化打分，按得分由高到低排序确定成交候选</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供应商</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p>
    <w:p w14:paraId="1D3A3149">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八、响应截止时间</w:t>
      </w:r>
    </w:p>
    <w:p w14:paraId="37D89BBB">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拟参加此次服务比选的单位请于2026年</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11</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月</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下午17:00</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前</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将</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响应文件</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交至</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湖南</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省统计局，逾期响应无效。</w:t>
      </w:r>
    </w:p>
    <w:p w14:paraId="00A0AF31">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九、联系方式</w:t>
      </w:r>
    </w:p>
    <w:p w14:paraId="463DC823">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联系人：湖南省统计局</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综合统计与经济研究室</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廖闻菲</w:t>
      </w:r>
    </w:p>
    <w:p w14:paraId="6598620B">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联系电话：0731-8221</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2549</w:t>
      </w:r>
    </w:p>
    <w:p w14:paraId="7C440B47">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联系地址：湖南省长沙市芙蓉区五一大道351号省政府机关二院六办公楼</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528</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办公室（邮编：410011）</w:t>
      </w:r>
    </w:p>
    <w:p w14:paraId="3F467899">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p>
    <w:p w14:paraId="5DFD8519">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附件：</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1.项目报价明细表</w:t>
      </w:r>
    </w:p>
    <w:p w14:paraId="21717CFA">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1600" w:firstLineChars="500"/>
        <w:jc w:val="left"/>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资格审查表</w:t>
      </w:r>
    </w:p>
    <w:p w14:paraId="0E485E35">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1600" w:firstLineChars="500"/>
        <w:jc w:val="left"/>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.评审标准</w:t>
      </w:r>
    </w:p>
    <w:p w14:paraId="722541B2">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p>
    <w:p w14:paraId="09DDF44E">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center"/>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湖南省统计局</w:t>
      </w:r>
    </w:p>
    <w:p w14:paraId="4D9C78A0">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center"/>
        <w:textAlignment w:val="auto"/>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2026年</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10</w:t>
      </w:r>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月</w:t>
      </w:r>
      <w:r>
        <w:rPr>
          <w:rFonts w:hint="eastAsia"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29</w:t>
      </w:r>
      <w:bookmarkStart w:id="0" w:name="_GoBack"/>
      <w:bookmarkEnd w:id="0"/>
      <w:r>
        <w:rPr>
          <w:rFonts w:hint="default" w:ascii="Times New Roman" w:hAnsi="Times New Roman" w:eastAsia="仿宋" w:cs="Times New Roman"/>
          <w:i w:val="0"/>
          <w:iCs w:val="0"/>
          <w:caps w:val="0"/>
          <w:color w:val="000000" w:themeColor="text1"/>
          <w:spacing w:val="0"/>
          <w:sz w:val="32"/>
          <w:szCs w:val="32"/>
          <w:shd w:val="clear" w:fill="FFFFFF"/>
          <w:lang w:val="en-US" w:eastAsia="zh-CN"/>
          <w14:textFill>
            <w14:solidFill>
              <w14:schemeClr w14:val="tx1"/>
            </w14:solidFill>
          </w14:textFill>
        </w:rPr>
        <w:t>日</w:t>
      </w:r>
    </w:p>
    <w:p w14:paraId="39755EF3">
      <w:pPr>
        <w:rPr>
          <w:rFonts w:hint="eastAsia" w:ascii="仿宋_GB2312" w:eastAsia="仿宋"/>
          <w:color w:val="000000" w:themeColor="text1"/>
          <w:sz w:val="32"/>
          <w:szCs w:val="32"/>
          <w14:textFill>
            <w14:solidFill>
              <w14:schemeClr w14:val="tx1"/>
            </w14:solidFill>
          </w14:textFill>
        </w:rPr>
      </w:pPr>
      <w:r>
        <w:rPr>
          <w:rFonts w:hint="eastAsia" w:ascii="仿宋_GB2312" w:eastAsia="仿宋"/>
          <w:color w:val="000000" w:themeColor="text1"/>
          <w:sz w:val="32"/>
          <w:szCs w:val="32"/>
          <w14:textFill>
            <w14:solidFill>
              <w14:schemeClr w14:val="tx1"/>
            </w14:solidFill>
          </w14:textFill>
        </w:rPr>
        <w:br w:type="page"/>
      </w:r>
    </w:p>
    <w:p w14:paraId="05E8E7C2">
      <w:pPr>
        <w:keepNext w:val="0"/>
        <w:keepLines w:val="0"/>
        <w:pageBreakBefore w:val="0"/>
        <w:widowControl w:val="0"/>
        <w:kinsoku/>
        <w:topLinePunct w:val="0"/>
        <w:autoSpaceDE/>
        <w:autoSpaceDN/>
        <w:bidi w:val="0"/>
        <w:snapToGrid w:val="0"/>
        <w:spacing w:line="360" w:lineRule="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附件</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1</w:t>
      </w:r>
    </w:p>
    <w:p w14:paraId="468083B7">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596" w:lineRule="exact"/>
        <w:jc w:val="center"/>
        <w:textAlignment w:val="bottom"/>
        <w:rPr>
          <w:rFonts w:hint="eastAsia" w:ascii="Times New Roman" w:hAnsi="Times New Roman" w:eastAsia="方正小标宋_GBK" w:cs="方正小标宋_GBK"/>
          <w:bCs/>
          <w:color w:val="000000" w:themeColor="text1"/>
          <w:sz w:val="44"/>
          <w:szCs w:val="44"/>
          <w:lang w:eastAsia="zh-CN"/>
          <w14:textFill>
            <w14:solidFill>
              <w14:schemeClr w14:val="tx1"/>
            </w14:solidFill>
          </w14:textFill>
        </w:rPr>
      </w:pPr>
      <w:r>
        <w:rPr>
          <w:rFonts w:hint="eastAsia" w:ascii="Times New Roman" w:hAnsi="Times New Roman" w:eastAsia="方正小标宋_GBK" w:cs="方正小标宋_GBK"/>
          <w:bCs/>
          <w:color w:val="000000" w:themeColor="text1"/>
          <w:sz w:val="44"/>
          <w:szCs w:val="44"/>
          <w:lang w:eastAsia="zh-CN"/>
          <w14:textFill>
            <w14:solidFill>
              <w14:schemeClr w14:val="tx1"/>
            </w14:solidFill>
          </w14:textFill>
        </w:rPr>
        <w:t>项目报价明细表</w:t>
      </w:r>
    </w:p>
    <w:p w14:paraId="53A8CD99">
      <w:pPr>
        <w:keepNext w:val="0"/>
        <w:keepLines w:val="0"/>
        <w:pageBreakBefore w:val="0"/>
        <w:widowControl w:val="0"/>
        <w:numPr>
          <w:ilvl w:val="0"/>
          <w:numId w:val="0"/>
        </w:numPr>
        <w:kinsoku/>
        <w:wordWrap/>
        <w:overflowPunct/>
        <w:topLinePunct w:val="0"/>
        <w:autoSpaceDE/>
        <w:autoSpaceDN/>
        <w:bidi w:val="0"/>
        <w:adjustRightInd/>
        <w:snapToGrid/>
        <w:spacing w:line="596" w:lineRule="exact"/>
        <w:ind w:left="320" w:leftChars="0"/>
        <w:jc w:val="left"/>
        <w:textAlignment w:val="bottom"/>
        <w:rPr>
          <w:rFonts w:hint="eastAsia" w:ascii="Times New Roman" w:hAnsi="Times New Roman" w:eastAsia="仿宋" w:cs="Times New Roman"/>
          <w:i w:val="0"/>
          <w:iCs w:val="0"/>
          <w:caps w:val="0"/>
          <w:color w:val="000000" w:themeColor="text1"/>
          <w:spacing w:val="0"/>
          <w:kern w:val="0"/>
          <w:sz w:val="28"/>
          <w:szCs w:val="28"/>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28"/>
          <w:szCs w:val="28"/>
          <w:shd w:val="clear" w:fill="FFFFFF"/>
          <w:lang w:val="en-US" w:eastAsia="zh-CN" w:bidi="ar"/>
          <w14:textFill>
            <w14:solidFill>
              <w14:schemeClr w14:val="tx1"/>
            </w14:solidFill>
          </w14:textFill>
        </w:rPr>
        <w:t>项目名称</w:t>
      </w:r>
      <w:r>
        <w:rPr>
          <w:rFonts w:hint="eastAsia" w:ascii="Times New Roman" w:hAnsi="Times New Roman" w:eastAsia="仿宋" w:cs="Times New Roman"/>
          <w:i w:val="0"/>
          <w:iCs w:val="0"/>
          <w:caps w:val="0"/>
          <w:color w:val="000000" w:themeColor="text1"/>
          <w:spacing w:val="0"/>
          <w:kern w:val="0"/>
          <w:sz w:val="28"/>
          <w:szCs w:val="28"/>
          <w:shd w:val="clear" w:fill="FFFFFF"/>
          <w:lang w:val="en-US" w:eastAsia="zh-CN" w:bidi="ar"/>
          <w14:textFill>
            <w14:solidFill>
              <w14:schemeClr w14:val="tx1"/>
            </w14:solidFill>
          </w14:textFill>
        </w:rPr>
        <w:t>：《湖南统计年鉴2026》印刷服务</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490"/>
        <w:gridCol w:w="1959"/>
        <w:gridCol w:w="4706"/>
      </w:tblGrid>
      <w:tr w14:paraId="2309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58" w:type="dxa"/>
            <w:noWrap w:val="0"/>
            <w:vAlign w:val="center"/>
          </w:tcPr>
          <w:p w14:paraId="6504E210">
            <w:pPr>
              <w:keepNext w:val="0"/>
              <w:keepLines w:val="0"/>
              <w:pageBreakBefore w:val="0"/>
              <w:widowControl w:val="0"/>
              <w:kinsoku/>
              <w:topLinePunct w:val="0"/>
              <w:autoSpaceDE/>
              <w:autoSpaceDN/>
              <w:bidi w:val="0"/>
              <w:snapToGrid w:val="0"/>
              <w:spacing w:before="156" w:beforeLines="50"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序号</w:t>
            </w:r>
          </w:p>
        </w:tc>
        <w:tc>
          <w:tcPr>
            <w:tcW w:w="1490" w:type="dxa"/>
            <w:noWrap w:val="0"/>
            <w:vAlign w:val="center"/>
          </w:tcPr>
          <w:p w14:paraId="64D78C15">
            <w:pPr>
              <w:keepNext w:val="0"/>
              <w:keepLines w:val="0"/>
              <w:pageBreakBefore w:val="0"/>
              <w:widowControl w:val="0"/>
              <w:kinsoku/>
              <w:topLinePunct w:val="0"/>
              <w:autoSpaceDE/>
              <w:autoSpaceDN/>
              <w:bidi w:val="0"/>
              <w:snapToGrid w:val="0"/>
              <w:spacing w:before="156" w:beforeLines="50"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科目</w:t>
            </w:r>
          </w:p>
        </w:tc>
        <w:tc>
          <w:tcPr>
            <w:tcW w:w="1959" w:type="dxa"/>
            <w:noWrap w:val="0"/>
            <w:vAlign w:val="center"/>
          </w:tcPr>
          <w:p w14:paraId="37259974">
            <w:pPr>
              <w:keepNext w:val="0"/>
              <w:keepLines w:val="0"/>
              <w:pageBreakBefore w:val="0"/>
              <w:widowControl w:val="0"/>
              <w:kinsoku/>
              <w:topLinePunct w:val="0"/>
              <w:autoSpaceDE/>
              <w:autoSpaceDN/>
              <w:bidi w:val="0"/>
              <w:snapToGrid w:val="0"/>
              <w:spacing w:before="156" w:beforeLines="50"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金额（万元）</w:t>
            </w:r>
          </w:p>
        </w:tc>
        <w:tc>
          <w:tcPr>
            <w:tcW w:w="4706" w:type="dxa"/>
            <w:noWrap w:val="0"/>
            <w:vAlign w:val="center"/>
          </w:tcPr>
          <w:p w14:paraId="186C9DF7">
            <w:pPr>
              <w:keepNext w:val="0"/>
              <w:keepLines w:val="0"/>
              <w:pageBreakBefore w:val="0"/>
              <w:widowControl w:val="0"/>
              <w:kinsoku/>
              <w:topLinePunct w:val="0"/>
              <w:autoSpaceDE/>
              <w:autoSpaceDN/>
              <w:bidi w:val="0"/>
              <w:snapToGrid w:val="0"/>
              <w:spacing w:before="156" w:beforeLines="50"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费用内容</w:t>
            </w:r>
          </w:p>
        </w:tc>
      </w:tr>
      <w:tr w14:paraId="1F01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3641DD02">
            <w:pPr>
              <w:keepNext w:val="0"/>
              <w:keepLines w:val="0"/>
              <w:pageBreakBefore w:val="0"/>
              <w:widowControl w:val="0"/>
              <w:kinsoku/>
              <w:topLinePunct w:val="0"/>
              <w:autoSpaceDE/>
              <w:autoSpaceDN/>
              <w:bidi w:val="0"/>
              <w:snapToGrid w:val="0"/>
              <w:spacing w:line="360" w:lineRule="auto"/>
              <w:jc w:val="center"/>
              <w:rPr>
                <w:rFonts w:hint="default" w:ascii="黑体" w:eastAsia="黑体"/>
                <w:color w:val="000000" w:themeColor="text1"/>
                <w:sz w:val="28"/>
                <w:lang w:val="en-US" w:eastAsia="zh-CN"/>
                <w14:textFill>
                  <w14:solidFill>
                    <w14:schemeClr w14:val="tx1"/>
                  </w14:solidFill>
                </w14:textFill>
              </w:rPr>
            </w:pPr>
          </w:p>
        </w:tc>
        <w:tc>
          <w:tcPr>
            <w:tcW w:w="1490" w:type="dxa"/>
            <w:noWrap w:val="0"/>
            <w:vAlign w:val="center"/>
          </w:tcPr>
          <w:p w14:paraId="4030BBFB">
            <w:pPr>
              <w:keepNext w:val="0"/>
              <w:keepLines w:val="0"/>
              <w:pageBreakBefore w:val="0"/>
              <w:widowControl w:val="0"/>
              <w:kinsoku/>
              <w:topLinePunct w:val="0"/>
              <w:autoSpaceDE/>
              <w:autoSpaceDN/>
              <w:bidi w:val="0"/>
              <w:snapToGrid w:val="0"/>
              <w:spacing w:line="360" w:lineRule="auto"/>
              <w:jc w:val="center"/>
              <w:rPr>
                <w:rFonts w:hint="eastAsia" w:ascii="黑体" w:eastAsia="黑体"/>
                <w:color w:val="000000" w:themeColor="text1"/>
                <w:sz w:val="28"/>
                <w:lang w:eastAsia="zh-CN"/>
                <w14:textFill>
                  <w14:solidFill>
                    <w14:schemeClr w14:val="tx1"/>
                  </w14:solidFill>
                </w14:textFill>
              </w:rPr>
            </w:pPr>
          </w:p>
        </w:tc>
        <w:tc>
          <w:tcPr>
            <w:tcW w:w="1959" w:type="dxa"/>
            <w:noWrap w:val="0"/>
            <w:vAlign w:val="center"/>
          </w:tcPr>
          <w:p w14:paraId="1F250111">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7A4CB855">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2150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754A43A2">
            <w:pPr>
              <w:keepNext w:val="0"/>
              <w:keepLines w:val="0"/>
              <w:pageBreakBefore w:val="0"/>
              <w:widowControl w:val="0"/>
              <w:kinsoku/>
              <w:topLinePunct w:val="0"/>
              <w:autoSpaceDE/>
              <w:autoSpaceDN/>
              <w:bidi w:val="0"/>
              <w:snapToGrid w:val="0"/>
              <w:spacing w:line="360" w:lineRule="auto"/>
              <w:jc w:val="center"/>
              <w:rPr>
                <w:rFonts w:hint="default" w:ascii="黑体" w:eastAsia="黑体"/>
                <w:color w:val="000000" w:themeColor="text1"/>
                <w:sz w:val="28"/>
                <w:lang w:val="en-US" w:eastAsia="zh-CN"/>
                <w14:textFill>
                  <w14:solidFill>
                    <w14:schemeClr w14:val="tx1"/>
                  </w14:solidFill>
                </w14:textFill>
              </w:rPr>
            </w:pPr>
          </w:p>
        </w:tc>
        <w:tc>
          <w:tcPr>
            <w:tcW w:w="1490" w:type="dxa"/>
            <w:noWrap w:val="0"/>
            <w:vAlign w:val="center"/>
          </w:tcPr>
          <w:p w14:paraId="4E440E4A">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959" w:type="dxa"/>
            <w:noWrap w:val="0"/>
            <w:vAlign w:val="center"/>
          </w:tcPr>
          <w:p w14:paraId="2B4E8012">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49EA9349">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5E75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6A72E678">
            <w:pPr>
              <w:keepNext w:val="0"/>
              <w:keepLines w:val="0"/>
              <w:pageBreakBefore w:val="0"/>
              <w:widowControl w:val="0"/>
              <w:kinsoku/>
              <w:topLinePunct w:val="0"/>
              <w:autoSpaceDE/>
              <w:autoSpaceDN/>
              <w:bidi w:val="0"/>
              <w:snapToGrid w:val="0"/>
              <w:spacing w:line="360" w:lineRule="auto"/>
              <w:jc w:val="center"/>
              <w:rPr>
                <w:rFonts w:hint="eastAsia" w:ascii="黑体" w:eastAsia="黑体"/>
                <w:color w:val="000000" w:themeColor="text1"/>
                <w:sz w:val="28"/>
                <w:lang w:val="en-US" w:eastAsia="zh-CN"/>
                <w14:textFill>
                  <w14:solidFill>
                    <w14:schemeClr w14:val="tx1"/>
                  </w14:solidFill>
                </w14:textFill>
              </w:rPr>
            </w:pPr>
          </w:p>
        </w:tc>
        <w:tc>
          <w:tcPr>
            <w:tcW w:w="1490" w:type="dxa"/>
            <w:noWrap w:val="0"/>
            <w:vAlign w:val="center"/>
          </w:tcPr>
          <w:p w14:paraId="60CB5167">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959" w:type="dxa"/>
            <w:noWrap w:val="0"/>
            <w:vAlign w:val="center"/>
          </w:tcPr>
          <w:p w14:paraId="3982FA5B">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62DB47AF">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42B3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5D5A729A">
            <w:pPr>
              <w:keepNext w:val="0"/>
              <w:keepLines w:val="0"/>
              <w:pageBreakBefore w:val="0"/>
              <w:widowControl w:val="0"/>
              <w:kinsoku/>
              <w:topLinePunct w:val="0"/>
              <w:autoSpaceDE/>
              <w:autoSpaceDN/>
              <w:bidi w:val="0"/>
              <w:snapToGrid w:val="0"/>
              <w:spacing w:line="360" w:lineRule="auto"/>
              <w:jc w:val="center"/>
              <w:rPr>
                <w:rFonts w:hint="eastAsia" w:ascii="黑体" w:eastAsia="黑体"/>
                <w:color w:val="000000" w:themeColor="text1"/>
                <w:sz w:val="28"/>
                <w:lang w:val="en-US" w:eastAsia="zh-CN"/>
                <w14:textFill>
                  <w14:solidFill>
                    <w14:schemeClr w14:val="tx1"/>
                  </w14:solidFill>
                </w14:textFill>
              </w:rPr>
            </w:pPr>
          </w:p>
        </w:tc>
        <w:tc>
          <w:tcPr>
            <w:tcW w:w="1490" w:type="dxa"/>
            <w:noWrap w:val="0"/>
            <w:vAlign w:val="center"/>
          </w:tcPr>
          <w:p w14:paraId="2B72E3FA">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959" w:type="dxa"/>
            <w:noWrap w:val="0"/>
            <w:vAlign w:val="center"/>
          </w:tcPr>
          <w:p w14:paraId="28E0CA13">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340C3C0E">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3BBC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314E6087">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490" w:type="dxa"/>
            <w:noWrap w:val="0"/>
            <w:vAlign w:val="center"/>
          </w:tcPr>
          <w:p w14:paraId="7AA619DF">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959" w:type="dxa"/>
            <w:noWrap w:val="0"/>
            <w:vAlign w:val="center"/>
          </w:tcPr>
          <w:p w14:paraId="60641BB8">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5AAEB174">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29A6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2CC90753">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490" w:type="dxa"/>
            <w:noWrap w:val="0"/>
            <w:vAlign w:val="center"/>
          </w:tcPr>
          <w:p w14:paraId="4FA7DE54">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959" w:type="dxa"/>
            <w:noWrap w:val="0"/>
            <w:vAlign w:val="center"/>
          </w:tcPr>
          <w:p w14:paraId="3ED4F9E9">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79F18EC7">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4DB9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6F5FDCD8">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490" w:type="dxa"/>
            <w:noWrap w:val="0"/>
            <w:vAlign w:val="center"/>
          </w:tcPr>
          <w:p w14:paraId="3C3F033D">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959" w:type="dxa"/>
            <w:noWrap w:val="0"/>
            <w:vAlign w:val="center"/>
          </w:tcPr>
          <w:p w14:paraId="28281885">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38C469F0">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2E76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58" w:type="dxa"/>
            <w:noWrap w:val="0"/>
            <w:vAlign w:val="center"/>
          </w:tcPr>
          <w:p w14:paraId="54D7F73E">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490" w:type="dxa"/>
            <w:noWrap w:val="0"/>
            <w:vAlign w:val="center"/>
          </w:tcPr>
          <w:p w14:paraId="5C88D6E6">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1959" w:type="dxa"/>
            <w:noWrap w:val="0"/>
            <w:vAlign w:val="center"/>
          </w:tcPr>
          <w:p w14:paraId="23F9B531">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c>
          <w:tcPr>
            <w:tcW w:w="4706" w:type="dxa"/>
            <w:noWrap w:val="0"/>
            <w:vAlign w:val="center"/>
          </w:tcPr>
          <w:p w14:paraId="700DFB0F">
            <w:pPr>
              <w:keepNext w:val="0"/>
              <w:keepLines w:val="0"/>
              <w:pageBreakBefore w:val="0"/>
              <w:widowControl w:val="0"/>
              <w:kinsoku/>
              <w:topLinePunct w:val="0"/>
              <w:autoSpaceDE/>
              <w:autoSpaceDN/>
              <w:bidi w:val="0"/>
              <w:snapToGrid w:val="0"/>
              <w:spacing w:line="360" w:lineRule="auto"/>
              <w:jc w:val="center"/>
              <w:rPr>
                <w:rFonts w:ascii="黑体" w:eastAsia="黑体"/>
                <w:color w:val="000000" w:themeColor="text1"/>
                <w:sz w:val="28"/>
                <w14:textFill>
                  <w14:solidFill>
                    <w14:schemeClr w14:val="tx1"/>
                  </w14:solidFill>
                </w14:textFill>
              </w:rPr>
            </w:pPr>
          </w:p>
        </w:tc>
      </w:tr>
      <w:tr w14:paraId="3AE4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248" w:type="dxa"/>
            <w:gridSpan w:val="2"/>
            <w:noWrap w:val="0"/>
            <w:vAlign w:val="center"/>
          </w:tcPr>
          <w:p w14:paraId="68A4737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黑体" w:eastAsia="黑体"/>
                <w:color w:val="000000" w:themeColor="text1"/>
                <w:sz w:val="28"/>
                <w14:textFill>
                  <w14:solidFill>
                    <w14:schemeClr w14:val="tx1"/>
                  </w14:solidFill>
                </w14:textFill>
              </w:rPr>
            </w:pPr>
            <w:r>
              <w:rPr>
                <w:rFonts w:hint="eastAsia" w:ascii="黑体" w:eastAsia="黑体"/>
                <w:color w:val="000000" w:themeColor="text1"/>
                <w:sz w:val="28"/>
                <w14:textFill>
                  <w14:solidFill>
                    <w14:schemeClr w14:val="tx1"/>
                  </w14:solidFill>
                </w14:textFill>
              </w:rPr>
              <w:t>合计</w:t>
            </w:r>
          </w:p>
        </w:tc>
        <w:tc>
          <w:tcPr>
            <w:tcW w:w="6665" w:type="dxa"/>
            <w:gridSpan w:val="2"/>
            <w:noWrap w:val="0"/>
            <w:vAlign w:val="center"/>
          </w:tcPr>
          <w:p w14:paraId="420F021E">
            <w:pPr>
              <w:keepNext w:val="0"/>
              <w:keepLines w:val="0"/>
              <w:pageBreakBefore w:val="0"/>
              <w:widowControl w:val="0"/>
              <w:kinsoku/>
              <w:topLinePunct w:val="0"/>
              <w:autoSpaceDE/>
              <w:autoSpaceDN/>
              <w:bidi w:val="0"/>
              <w:snapToGrid w:val="0"/>
              <w:spacing w:line="240" w:lineRule="exact"/>
              <w:jc w:val="center"/>
              <w:rPr>
                <w:rFonts w:ascii="黑体" w:eastAsia="黑体"/>
                <w:color w:val="000000" w:themeColor="text1"/>
                <w:sz w:val="28"/>
                <w14:textFill>
                  <w14:solidFill>
                    <w14:schemeClr w14:val="tx1"/>
                  </w14:solidFill>
                </w14:textFill>
              </w:rPr>
            </w:pPr>
          </w:p>
        </w:tc>
      </w:tr>
      <w:tr w14:paraId="2F77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7" w:hRule="atLeast"/>
          <w:jc w:val="center"/>
        </w:trPr>
        <w:tc>
          <w:tcPr>
            <w:tcW w:w="8913" w:type="dxa"/>
            <w:gridSpan w:val="4"/>
            <w:noWrap w:val="0"/>
            <w:vAlign w:val="top"/>
          </w:tcPr>
          <w:p w14:paraId="33ACA6FF">
            <w:pPr>
              <w:keepNext w:val="0"/>
              <w:keepLines w:val="0"/>
              <w:pageBreakBefore w:val="0"/>
              <w:widowControl w:val="0"/>
              <w:kinsoku/>
              <w:topLinePunct w:val="0"/>
              <w:autoSpaceDE/>
              <w:autoSpaceDN/>
              <w:bidi w:val="0"/>
              <w:snapToGrid w:val="0"/>
              <w:spacing w:before="312" w:beforeLines="100" w:line="360" w:lineRule="auto"/>
              <w:rPr>
                <w:rFonts w:ascii="黑体" w:eastAsia="黑体"/>
                <w:color w:val="000000" w:themeColor="text1"/>
                <w:sz w:val="32"/>
                <w:szCs w:val="32"/>
                <w14:textFill>
                  <w14:solidFill>
                    <w14:schemeClr w14:val="tx1"/>
                  </w14:solidFill>
                </w14:textFill>
              </w:rPr>
            </w:pPr>
            <w:r>
              <w:rPr>
                <w:rFonts w:hint="eastAsia" w:ascii="黑体" w:eastAsia="黑体"/>
                <w:color w:val="000000" w:themeColor="text1"/>
                <w:sz w:val="32"/>
                <w:szCs w:val="32"/>
                <w14:textFill>
                  <w14:solidFill>
                    <w14:schemeClr w14:val="tx1"/>
                  </w14:solidFill>
                </w14:textFill>
              </w:rPr>
              <w:t>申请人所在单位意见</w:t>
            </w:r>
          </w:p>
          <w:p w14:paraId="448A04FA">
            <w:pPr>
              <w:keepNext w:val="0"/>
              <w:keepLines w:val="0"/>
              <w:pageBreakBefore w:val="0"/>
              <w:widowControl w:val="0"/>
              <w:kinsoku/>
              <w:topLinePunct w:val="0"/>
              <w:autoSpaceDE/>
              <w:autoSpaceDN/>
              <w:bidi w:val="0"/>
              <w:rPr>
                <w:b/>
                <w:color w:val="000000" w:themeColor="text1"/>
                <w:sz w:val="24"/>
                <w14:textFill>
                  <w14:solidFill>
                    <w14:schemeClr w14:val="tx1"/>
                  </w14:solidFill>
                </w14:textFill>
              </w:rPr>
            </w:pPr>
          </w:p>
          <w:p w14:paraId="26BA8B5C">
            <w:pPr>
              <w:keepNext w:val="0"/>
              <w:keepLines w:val="0"/>
              <w:pageBreakBefore w:val="0"/>
              <w:widowControl w:val="0"/>
              <w:kinsoku/>
              <w:wordWrap w:val="0"/>
              <w:topLinePunct w:val="0"/>
              <w:autoSpaceDE/>
              <w:autoSpaceDN/>
              <w:bidi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p>
          <w:p w14:paraId="6F672897">
            <w:pPr>
              <w:keepNext w:val="0"/>
              <w:keepLines w:val="0"/>
              <w:pageBreakBefore w:val="0"/>
              <w:widowControl w:val="0"/>
              <w:kinsoku/>
              <w:wordWrap w:val="0"/>
              <w:topLinePunct w:val="0"/>
              <w:autoSpaceDE/>
              <w:autoSpaceDN/>
              <w:bidi w:val="0"/>
              <w:jc w:val="center"/>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 xml:space="preserve">单位公章  </w:t>
            </w:r>
          </w:p>
          <w:p w14:paraId="1D7ED0F7">
            <w:pPr>
              <w:keepNext w:val="0"/>
              <w:keepLines w:val="0"/>
              <w:pageBreakBefore w:val="0"/>
              <w:widowControl w:val="0"/>
              <w:kinsoku/>
              <w:topLinePunct w:val="0"/>
              <w:autoSpaceDE/>
              <w:autoSpaceDN/>
              <w:bidi w:val="0"/>
              <w:jc w:val="right"/>
              <w:rPr>
                <w:color w:val="000000" w:themeColor="text1"/>
                <w:sz w:val="24"/>
                <w14:textFill>
                  <w14:solidFill>
                    <w14:schemeClr w14:val="tx1"/>
                  </w14:solidFill>
                </w14:textFill>
              </w:rPr>
            </w:pPr>
          </w:p>
          <w:p w14:paraId="223D435B">
            <w:pPr>
              <w:keepNext w:val="0"/>
              <w:keepLines w:val="0"/>
              <w:pageBreakBefore w:val="0"/>
              <w:widowControl w:val="0"/>
              <w:kinsoku/>
              <w:topLinePunct w:val="0"/>
              <w:autoSpaceDE/>
              <w:autoSpaceDN/>
              <w:bidi w:val="0"/>
              <w:snapToGrid w:val="0"/>
              <w:spacing w:line="360" w:lineRule="auto"/>
              <w:ind w:firstLine="6120" w:firstLineChars="2550"/>
              <w:rPr>
                <w:rFonts w:ascii="黑体" w:eastAsia="黑体"/>
                <w:color w:val="000000" w:themeColor="text1"/>
                <w:sz w:val="28"/>
                <w14:textFill>
                  <w14:solidFill>
                    <w14:schemeClr w14:val="tx1"/>
                  </w14:solidFill>
                </w14:textFill>
              </w:rPr>
            </w:pPr>
            <w:r>
              <w:rPr>
                <w:rFonts w:hint="eastAsia"/>
                <w:color w:val="000000" w:themeColor="text1"/>
                <w:sz w:val="24"/>
                <w14:textFill>
                  <w14:solidFill>
                    <w14:schemeClr w14:val="tx1"/>
                  </w14:solidFill>
                </w14:textFill>
              </w:rPr>
              <w:t>年    月    日</w:t>
            </w:r>
          </w:p>
        </w:tc>
      </w:tr>
    </w:tbl>
    <w:p w14:paraId="4AB73765">
      <w:pPr>
        <w:keepNext w:val="0"/>
        <w:keepLines w:val="0"/>
        <w:pageBreakBefore w:val="0"/>
        <w:widowControl w:val="0"/>
        <w:kinsoku/>
        <w:topLinePunct w:val="0"/>
        <w:autoSpaceDE/>
        <w:autoSpaceDN/>
        <w:bidi w:val="0"/>
        <w:rPr>
          <w:color w:val="000000" w:themeColor="text1"/>
          <w14:textFill>
            <w14:solidFill>
              <w14:schemeClr w14:val="tx1"/>
            </w14:solidFill>
          </w14:textFill>
        </w:rPr>
      </w:pPr>
    </w:p>
    <w:p w14:paraId="642AE347">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附件</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2</w:t>
      </w:r>
    </w:p>
    <w:p w14:paraId="6B308A93">
      <w:pPr>
        <w:keepNext w:val="0"/>
        <w:keepLines w:val="0"/>
        <w:pageBreakBefore w:val="0"/>
        <w:widowControl w:val="0"/>
        <w:kinsoku/>
        <w:wordWrap/>
        <w:overflowPunct w:val="0"/>
        <w:topLinePunct w:val="0"/>
        <w:autoSpaceDE/>
        <w:autoSpaceDN/>
        <w:bidi w:val="0"/>
        <w:adjustRightInd/>
        <w:snapToGrid/>
        <w:spacing w:before="156" w:beforeLines="50" w:after="156" w:afterLines="50" w:line="360" w:lineRule="exact"/>
        <w:jc w:val="center"/>
        <w:textAlignment w:val="auto"/>
        <w:rPr>
          <w:rFonts w:hint="default" w:ascii="Times New Roman" w:hAnsi="Times New Roman" w:eastAsia="方正小标宋_GBK"/>
          <w:color w:val="000000" w:themeColor="text1"/>
          <w:sz w:val="42"/>
          <w:szCs w:val="42"/>
          <w:lang w:val="en-US" w:eastAsia="zh-CN"/>
          <w14:textFill>
            <w14:solidFill>
              <w14:schemeClr w14:val="tx1"/>
            </w14:solidFill>
          </w14:textFill>
        </w:rPr>
      </w:pPr>
      <w:r>
        <w:rPr>
          <w:rFonts w:hint="eastAsia" w:ascii="Times New Roman" w:hAnsi="Times New Roman" w:eastAsia="方正小标宋_GBK"/>
          <w:color w:val="000000" w:themeColor="text1"/>
          <w:sz w:val="42"/>
          <w:szCs w:val="42"/>
          <w:lang w:val="en-US" w:eastAsia="zh-CN"/>
          <w14:textFill>
            <w14:solidFill>
              <w14:schemeClr w14:val="tx1"/>
            </w14:solidFill>
          </w14:textFill>
        </w:rPr>
        <w:t>资格审查表</w:t>
      </w:r>
    </w:p>
    <w:tbl>
      <w:tblPr>
        <w:tblStyle w:val="6"/>
        <w:tblW w:w="95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5"/>
        <w:gridCol w:w="1430"/>
        <w:gridCol w:w="2331"/>
        <w:gridCol w:w="1365"/>
        <w:gridCol w:w="3597"/>
      </w:tblGrid>
      <w:tr w14:paraId="60FC9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9"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B26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lang w:val="en-US" w:eastAsia="zh-CN"/>
                <w14:textFill>
                  <w14:solidFill>
                    <w14:schemeClr w14:val="tx1"/>
                  </w14:solidFill>
                </w14:textFill>
              </w:rPr>
              <w:t>序号</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01B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lang w:val="en-US" w:eastAsia="zh-CN"/>
                <w14:textFill>
                  <w14:solidFill>
                    <w14:schemeClr w14:val="tx1"/>
                  </w14:solidFill>
                </w14:textFill>
              </w:rPr>
              <w:t>审查项目</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5A9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lang w:val="en-US" w:eastAsia="zh-CN"/>
                <w14:textFill>
                  <w14:solidFill>
                    <w14:schemeClr w14:val="tx1"/>
                  </w14:solidFill>
                </w14:textFill>
              </w:rPr>
              <w:t>合格标准</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FF6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黑体" w:cs="Times New Roman"/>
                <w:color w:val="000000" w:themeColor="text1"/>
                <w:sz w:val="28"/>
                <w:szCs w:val="28"/>
                <w:lang w:eastAsia="zh-CN"/>
                <w14:textFill>
                  <w14:solidFill>
                    <w14:schemeClr w14:val="tx1"/>
                  </w14:solidFill>
                </w14:textFill>
              </w:rPr>
            </w:pPr>
            <w:r>
              <w:rPr>
                <w:rFonts w:hint="default" w:ascii="Times New Roman" w:hAnsi="Times New Roman" w:eastAsia="黑体" w:cs="Times New Roman"/>
                <w:color w:val="000000" w:themeColor="text1"/>
                <w:sz w:val="28"/>
                <w:szCs w:val="28"/>
                <w:lang w:eastAsia="zh-CN"/>
                <w14:textFill>
                  <w14:solidFill>
                    <w14:schemeClr w14:val="tx1"/>
                  </w14:solidFill>
                </w14:textFill>
              </w:rPr>
              <w:t>审查结果</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EBA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黑体" w:cs="Times New Roman"/>
                <w:color w:val="000000" w:themeColor="text1"/>
                <w:sz w:val="28"/>
                <w:szCs w:val="28"/>
                <w:lang w:eastAsia="zh-CN"/>
                <w14:textFill>
                  <w14:solidFill>
                    <w14:schemeClr w14:val="tx1"/>
                  </w14:solidFill>
                </w14:textFill>
              </w:rPr>
            </w:pPr>
            <w:r>
              <w:rPr>
                <w:rFonts w:hint="default" w:ascii="Times New Roman" w:hAnsi="Times New Roman" w:eastAsia="黑体" w:cs="Times New Roman"/>
                <w:color w:val="000000" w:themeColor="text1"/>
                <w:sz w:val="28"/>
                <w:szCs w:val="28"/>
                <w:lang w:eastAsia="zh-CN"/>
                <w14:textFill>
                  <w14:solidFill>
                    <w14:schemeClr w14:val="tx1"/>
                  </w14:solidFill>
                </w14:textFill>
              </w:rPr>
              <w:t>备</w:t>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8"/>
                <w:szCs w:val="28"/>
                <w:lang w:eastAsia="zh-CN"/>
                <w14:textFill>
                  <w14:solidFill>
                    <w14:schemeClr w14:val="tx1"/>
                  </w14:solidFill>
                </w14:textFill>
              </w:rPr>
              <w:t>注</w:t>
            </w:r>
          </w:p>
          <w:p w14:paraId="53844D6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黑体" w:cs="Times New Roman"/>
                <w:color w:val="000000" w:themeColor="text1"/>
                <w:sz w:val="28"/>
                <w:szCs w:val="28"/>
                <w:lang w:eastAsia="zh-CN"/>
                <w14:textFill>
                  <w14:solidFill>
                    <w14:schemeClr w14:val="tx1"/>
                  </w14:solidFill>
                </w14:textFill>
              </w:rPr>
            </w:pPr>
            <w:r>
              <w:rPr>
                <w:rFonts w:hint="default" w:ascii="Times New Roman" w:hAnsi="Times New Roman" w:eastAsia="黑体" w:cs="Times New Roman"/>
                <w:color w:val="000000" w:themeColor="text1"/>
                <w:sz w:val="28"/>
                <w:szCs w:val="28"/>
                <w:lang w:eastAsia="zh-CN"/>
                <w14:textFill>
                  <w14:solidFill>
                    <w14:schemeClr w14:val="tx1"/>
                  </w14:solidFill>
                </w14:textFill>
              </w:rPr>
              <w:t>（须提供资料）</w:t>
            </w:r>
          </w:p>
        </w:tc>
      </w:tr>
      <w:tr w14:paraId="1B02D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4"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34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90E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主体资格</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E23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独立法人，有效存续</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CE1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 xml:space="preserve">□通过 </w:t>
            </w:r>
          </w:p>
          <w:p w14:paraId="4E37CFB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p w14:paraId="6AA1F65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□不通过</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A799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营业执照副本复印件并加盖公章；</w:t>
            </w:r>
          </w:p>
        </w:tc>
      </w:tr>
      <w:tr w14:paraId="7B6A9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316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2</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1B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特定资格</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79B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有</w:t>
            </w: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印刷经营许可证（含出版物）</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885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 xml:space="preserve">□通过 </w:t>
            </w:r>
          </w:p>
          <w:p w14:paraId="7D32B3C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p w14:paraId="72699C2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□不通过</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8C6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w:t>
            </w: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印刷经营许可证（含出版物）</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复印件</w:t>
            </w:r>
          </w:p>
        </w:tc>
      </w:tr>
      <w:tr w14:paraId="48651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2"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44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3</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D73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依法缴纳税收</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F47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提供近6个月内任意1个月纳税证明</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E8A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 xml:space="preserve">□通过 </w:t>
            </w:r>
          </w:p>
          <w:p w14:paraId="58C85FA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p w14:paraId="054908F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□不通过</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2F2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提供依法缴纳税收的证明</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如完税凭证、纳税申报表等复印件；如依法免税的，须提供相应证明材料。</w:t>
            </w:r>
          </w:p>
        </w:tc>
      </w:tr>
      <w:tr w14:paraId="3AC0C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4"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EF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4</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1D3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依法缴纳社保</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051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提供近6个月内任意1个月社保证明</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4EC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 xml:space="preserve">□通过 </w:t>
            </w:r>
          </w:p>
          <w:p w14:paraId="50CFF3C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p w14:paraId="62EC80B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□不通过</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D47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提供依法缴纳社会保险的证明</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如社保缴费凭证、社保部门出具的证明等复印件；如依法不需要缴纳社保的，须提供相应证明材料。</w:t>
            </w:r>
          </w:p>
        </w:tc>
      </w:tr>
      <w:tr w14:paraId="770B7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8"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3B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仿宋" w:cs="Times New Roman"/>
                <w:i w:val="0"/>
                <w:iCs w:val="0"/>
                <w:color w:val="000000" w:themeColor="text1"/>
                <w:sz w:val="28"/>
                <w:szCs w:val="28"/>
                <w:u w:val="none"/>
                <w:lang w:val="en-US" w:eastAsia="zh-CN"/>
                <w14:textFill>
                  <w14:solidFill>
                    <w14:schemeClr w14:val="tx1"/>
                  </w14:solidFill>
                </w14:textFill>
              </w:rPr>
              <w:t>5</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971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重大违法记录</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F70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提供3年内无重大违法声明函</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F9E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□通过</w:t>
            </w:r>
          </w:p>
          <w:p w14:paraId="2CEE3CD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p w14:paraId="3EE8BCE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□不通过</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E69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提供书面声明函（格式自拟，须加盖公章），内容须</w:t>
            </w: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包含“本公司承诺在参加本次采购活动前三年内，在经营活动中无重大违法记录”。</w:t>
            </w:r>
          </w:p>
        </w:tc>
      </w:tr>
      <w:tr w14:paraId="7397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8B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sz w:val="28"/>
                <w:szCs w:val="28"/>
                <w:u w:val="none"/>
                <w:lang w:val="en-US" w:eastAsia="zh-CN"/>
                <w14:textFill>
                  <w14:solidFill>
                    <w14:schemeClr w14:val="tx1"/>
                  </w14:solidFill>
                </w14:textFill>
              </w:rPr>
            </w:pPr>
            <w:r>
              <w:rPr>
                <w:rFonts w:hint="eastAsia" w:ascii="Times New Roman" w:hAnsi="Times New Roman" w:eastAsia="仿宋" w:cs="Times New Roman"/>
                <w:i w:val="0"/>
                <w:iCs w:val="0"/>
                <w:color w:val="000000" w:themeColor="text1"/>
                <w:sz w:val="28"/>
                <w:szCs w:val="28"/>
                <w:u w:val="none"/>
                <w:lang w:val="en-US" w:eastAsia="zh-CN"/>
                <w14:textFill>
                  <w14:solidFill>
                    <w14:schemeClr w14:val="tx1"/>
                  </w14:solidFill>
                </w14:textFill>
              </w:rPr>
              <w:t>6</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B6A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信用记录</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A85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未被列入失信、重大税收违法、政府采购严重违法失信名单</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018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 xml:space="preserve">□通过 </w:t>
            </w:r>
          </w:p>
          <w:p w14:paraId="67AB816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p w14:paraId="526B388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□不通过</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D45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提供查询截图（查</w:t>
            </w: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询时间须在本项目公告发布日之后）：① “信用中国”网站信用信息报告或查询结果截图；② “中国政府采购网”查询结果截图。（注：以评审小组当场统一查询结果为准，截图仅供参考）</w:t>
            </w:r>
          </w:p>
        </w:tc>
      </w:tr>
      <w:tr w14:paraId="6B051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C7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sz w:val="28"/>
                <w:szCs w:val="28"/>
                <w:u w:val="none"/>
                <w:lang w:val="en-US" w:eastAsia="zh-CN"/>
                <w14:textFill>
                  <w14:solidFill>
                    <w14:schemeClr w14:val="tx1"/>
                  </w14:solidFill>
                </w14:textFill>
              </w:rPr>
            </w:pPr>
            <w:r>
              <w:rPr>
                <w:rFonts w:hint="eastAsia" w:ascii="Times New Roman" w:hAnsi="Times New Roman" w:eastAsia="仿宋" w:cs="Times New Roman"/>
                <w:i w:val="0"/>
                <w:iCs w:val="0"/>
                <w:color w:val="000000" w:themeColor="text1"/>
                <w:sz w:val="28"/>
                <w:szCs w:val="28"/>
                <w:u w:val="none"/>
                <w:lang w:val="en-US" w:eastAsia="zh-CN"/>
                <w14:textFill>
                  <w14:solidFill>
                    <w14:schemeClr w14:val="tx1"/>
                  </w14:solidFill>
                </w14:textFill>
              </w:rPr>
              <w:t>7</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9F3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联合体</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878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符合本项目要求，提供声明函</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36D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 xml:space="preserve">□通过 </w:t>
            </w:r>
          </w:p>
          <w:p w14:paraId="645C180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p w14:paraId="6339C82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□不通过</w:t>
            </w:r>
          </w:p>
        </w:tc>
        <w:tc>
          <w:tcPr>
            <w:tcW w:w="3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1A1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不接受联合体，</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请</w:t>
            </w: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提供非联合体声明函（格式自拟</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须加盖公章）</w:t>
            </w:r>
            <w:r>
              <w:rPr>
                <w:rFonts w:hint="eastAsia"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w:t>
            </w:r>
          </w:p>
        </w:tc>
      </w:tr>
      <w:tr w14:paraId="2F360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7" w:hRule="atLeast"/>
          <w:jc w:val="center"/>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5C1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sz w:val="28"/>
                <w:szCs w:val="28"/>
                <w:u w:val="none"/>
                <w14:textFill>
                  <w14:solidFill>
                    <w14:schemeClr w14:val="tx1"/>
                  </w14:solidFill>
                </w14:textFill>
              </w:rPr>
            </w:pPr>
            <w: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t>审查结论</w:t>
            </w:r>
          </w:p>
        </w:tc>
        <w:tc>
          <w:tcPr>
            <w:tcW w:w="72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B321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 w:cs="Times New Roman"/>
                <w:i w:val="0"/>
                <w:iCs w:val="0"/>
                <w:color w:val="000000" w:themeColor="text1"/>
                <w:kern w:val="0"/>
                <w:sz w:val="28"/>
                <w:szCs w:val="28"/>
                <w:u w:val="none"/>
                <w:lang w:val="en-US" w:eastAsia="zh-CN" w:bidi="ar"/>
                <w14:textFill>
                  <w14:solidFill>
                    <w14:schemeClr w14:val="tx1"/>
                  </w14:solidFill>
                </w14:textFill>
              </w:rPr>
            </w:pPr>
          </w:p>
        </w:tc>
      </w:tr>
    </w:tbl>
    <w:p w14:paraId="0480662B">
      <w:pPr>
        <w:keepNext w:val="0"/>
        <w:keepLines w:val="0"/>
        <w:pageBreakBefore w:val="0"/>
        <w:widowControl w:val="0"/>
        <w:kinsoku/>
        <w:topLinePunct w:val="0"/>
        <w:autoSpaceDE/>
        <w:autoSpaceDN/>
        <w:bidi w:val="0"/>
        <w:snapToGrid w:val="0"/>
        <w:spacing w:line="360" w:lineRule="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附件</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3</w:t>
      </w:r>
    </w:p>
    <w:p w14:paraId="5675C3CD">
      <w:pPr>
        <w:keepNext w:val="0"/>
        <w:keepLines w:val="0"/>
        <w:pageBreakBefore w:val="0"/>
        <w:widowControl w:val="0"/>
        <w:kinsoku/>
        <w:wordWrap/>
        <w:overflowPunct w:val="0"/>
        <w:topLinePunct w:val="0"/>
        <w:autoSpaceDE/>
        <w:autoSpaceDN/>
        <w:bidi w:val="0"/>
        <w:adjustRightInd/>
        <w:snapToGrid/>
        <w:spacing w:before="156" w:beforeLines="50" w:after="156" w:afterLines="50" w:line="500" w:lineRule="exact"/>
        <w:jc w:val="center"/>
        <w:textAlignment w:val="auto"/>
        <w:rPr>
          <w:rFonts w:ascii="Times New Roman" w:hAnsi="Times New Roman" w:eastAsia="方正小标宋_GBK"/>
          <w:color w:val="000000" w:themeColor="text1"/>
          <w:sz w:val="42"/>
          <w:szCs w:val="42"/>
          <w14:textFill>
            <w14:solidFill>
              <w14:schemeClr w14:val="tx1"/>
            </w14:solidFill>
          </w14:textFill>
        </w:rPr>
      </w:pPr>
      <w:r>
        <w:rPr>
          <w:rFonts w:ascii="Times New Roman" w:hAnsi="Times New Roman" w:eastAsia="方正小标宋_GBK"/>
          <w:color w:val="000000" w:themeColor="text1"/>
          <w:sz w:val="42"/>
          <w:szCs w:val="42"/>
          <w14:textFill>
            <w14:solidFill>
              <w14:schemeClr w14:val="tx1"/>
            </w14:solidFill>
          </w14:textFill>
        </w:rPr>
        <w:t>评审标准</w:t>
      </w:r>
    </w:p>
    <w:tbl>
      <w:tblPr>
        <w:tblStyle w:val="6"/>
        <w:tblW w:w="9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920"/>
        <w:gridCol w:w="853"/>
        <w:gridCol w:w="7450"/>
      </w:tblGrid>
      <w:tr w14:paraId="14AC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blHeader/>
          <w:jc w:val="center"/>
        </w:trPr>
        <w:tc>
          <w:tcPr>
            <w:tcW w:w="738" w:type="dxa"/>
            <w:noWrap w:val="0"/>
            <w:vAlign w:val="center"/>
          </w:tcPr>
          <w:p w14:paraId="1D54AA7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hAnsi="Times New Roman" w:eastAsia="黑体"/>
                <w:color w:val="000000" w:themeColor="text1"/>
                <w:sz w:val="28"/>
                <w:szCs w:val="28"/>
                <w14:textFill>
                  <w14:solidFill>
                    <w14:schemeClr w14:val="tx1"/>
                  </w14:solidFill>
                </w14:textFill>
              </w:rPr>
            </w:pPr>
            <w:r>
              <w:rPr>
                <w:rFonts w:ascii="Times New Roman" w:hAnsi="Times New Roman" w:eastAsia="黑体"/>
                <w:color w:val="000000" w:themeColor="text1"/>
                <w:sz w:val="28"/>
                <w:szCs w:val="28"/>
                <w14:textFill>
                  <w14:solidFill>
                    <w14:schemeClr w14:val="tx1"/>
                  </w14:solidFill>
                </w14:textFill>
              </w:rPr>
              <w:t>序号</w:t>
            </w:r>
          </w:p>
        </w:tc>
        <w:tc>
          <w:tcPr>
            <w:tcW w:w="920" w:type="dxa"/>
            <w:noWrap w:val="0"/>
            <w:vAlign w:val="center"/>
          </w:tcPr>
          <w:p w14:paraId="61B20E7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hAnsi="Times New Roman" w:eastAsia="黑体"/>
                <w:color w:val="000000" w:themeColor="text1"/>
                <w:sz w:val="28"/>
                <w:szCs w:val="28"/>
                <w14:textFill>
                  <w14:solidFill>
                    <w14:schemeClr w14:val="tx1"/>
                  </w14:solidFill>
                </w14:textFill>
              </w:rPr>
            </w:pPr>
            <w:r>
              <w:rPr>
                <w:rFonts w:ascii="Times New Roman" w:hAnsi="Times New Roman" w:eastAsia="黑体"/>
                <w:color w:val="000000" w:themeColor="text1"/>
                <w:sz w:val="28"/>
                <w:szCs w:val="28"/>
                <w14:textFill>
                  <w14:solidFill>
                    <w14:schemeClr w14:val="tx1"/>
                  </w14:solidFill>
                </w14:textFill>
              </w:rPr>
              <w:t>评审因素</w:t>
            </w:r>
          </w:p>
        </w:tc>
        <w:tc>
          <w:tcPr>
            <w:tcW w:w="853" w:type="dxa"/>
            <w:noWrap w:val="0"/>
            <w:vAlign w:val="center"/>
          </w:tcPr>
          <w:p w14:paraId="54799D7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hAnsi="Times New Roman" w:eastAsia="黑体"/>
                <w:color w:val="000000" w:themeColor="text1"/>
                <w:sz w:val="28"/>
                <w:szCs w:val="28"/>
                <w14:textFill>
                  <w14:solidFill>
                    <w14:schemeClr w14:val="tx1"/>
                  </w14:solidFill>
                </w14:textFill>
              </w:rPr>
            </w:pPr>
            <w:r>
              <w:rPr>
                <w:rFonts w:ascii="Times New Roman" w:hAnsi="Times New Roman" w:eastAsia="黑体"/>
                <w:color w:val="000000" w:themeColor="text1"/>
                <w:sz w:val="28"/>
                <w:szCs w:val="28"/>
                <w14:textFill>
                  <w14:solidFill>
                    <w14:schemeClr w14:val="tx1"/>
                  </w14:solidFill>
                </w14:textFill>
              </w:rPr>
              <w:t>分值</w:t>
            </w:r>
          </w:p>
        </w:tc>
        <w:tc>
          <w:tcPr>
            <w:tcW w:w="7450" w:type="dxa"/>
            <w:noWrap w:val="0"/>
            <w:vAlign w:val="center"/>
          </w:tcPr>
          <w:p w14:paraId="334D2BB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hAnsi="Times New Roman" w:eastAsia="黑体"/>
                <w:color w:val="000000" w:themeColor="text1"/>
                <w:sz w:val="28"/>
                <w:szCs w:val="28"/>
                <w14:textFill>
                  <w14:solidFill>
                    <w14:schemeClr w14:val="tx1"/>
                  </w14:solidFill>
                </w14:textFill>
              </w:rPr>
            </w:pPr>
            <w:r>
              <w:rPr>
                <w:rFonts w:ascii="Times New Roman" w:hAnsi="Times New Roman" w:eastAsia="黑体"/>
                <w:color w:val="000000" w:themeColor="text1"/>
                <w:sz w:val="28"/>
                <w:szCs w:val="28"/>
                <w14:textFill>
                  <w14:solidFill>
                    <w14:schemeClr w14:val="tx1"/>
                  </w14:solidFill>
                </w14:textFill>
              </w:rPr>
              <w:t>评分标准</w:t>
            </w:r>
          </w:p>
        </w:tc>
      </w:tr>
      <w:tr w14:paraId="0FEA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91" w:hRule="atLeast"/>
          <w:jc w:val="center"/>
        </w:trPr>
        <w:tc>
          <w:tcPr>
            <w:tcW w:w="738" w:type="dxa"/>
            <w:noWrap w:val="0"/>
            <w:vAlign w:val="center"/>
          </w:tcPr>
          <w:p w14:paraId="60927235">
            <w:pPr>
              <w:keepNext w:val="0"/>
              <w:keepLines w:val="0"/>
              <w:pageBreakBefore w:val="0"/>
              <w:widowControl w:val="0"/>
              <w:kinsoku/>
              <w:topLinePunct w:val="0"/>
              <w:autoSpaceDE/>
              <w:autoSpaceDN/>
              <w:bidi w:val="0"/>
              <w:spacing w:line="400" w:lineRule="exact"/>
              <w:jc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1</w:t>
            </w:r>
          </w:p>
        </w:tc>
        <w:tc>
          <w:tcPr>
            <w:tcW w:w="920" w:type="dxa"/>
            <w:noWrap w:val="0"/>
            <w:vAlign w:val="center"/>
          </w:tcPr>
          <w:p w14:paraId="412FA9D2">
            <w:pPr>
              <w:keepNext w:val="0"/>
              <w:keepLines w:val="0"/>
              <w:pageBreakBefore w:val="0"/>
              <w:widowControl w:val="0"/>
              <w:kinsoku/>
              <w:topLinePunct w:val="0"/>
              <w:autoSpaceDE/>
              <w:autoSpaceDN/>
              <w:bidi w:val="0"/>
              <w:spacing w:line="400" w:lineRule="exact"/>
              <w:jc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价格</w:t>
            </w:r>
          </w:p>
        </w:tc>
        <w:tc>
          <w:tcPr>
            <w:tcW w:w="853" w:type="dxa"/>
            <w:noWrap w:val="0"/>
            <w:vAlign w:val="center"/>
          </w:tcPr>
          <w:p w14:paraId="4E07B08B">
            <w:pPr>
              <w:keepNext w:val="0"/>
              <w:keepLines w:val="0"/>
              <w:pageBreakBefore w:val="0"/>
              <w:widowControl w:val="0"/>
              <w:kinsoku/>
              <w:topLinePunct w:val="0"/>
              <w:autoSpaceDE/>
              <w:autoSpaceDN/>
              <w:bidi w:val="0"/>
              <w:spacing w:line="400" w:lineRule="exact"/>
              <w:jc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4</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0</w:t>
            </w:r>
            <w:r>
              <w:rPr>
                <w:rFonts w:hint="default" w:ascii="Times New Roman" w:hAnsi="Times New Roman" w:eastAsia="仿宋" w:cs="Times New Roman"/>
                <w:color w:val="000000" w:themeColor="text1"/>
                <w:sz w:val="28"/>
                <w:szCs w:val="28"/>
                <w14:textFill>
                  <w14:solidFill>
                    <w14:schemeClr w14:val="tx1"/>
                  </w14:solidFill>
                </w14:textFill>
              </w:rPr>
              <w:t>分</w:t>
            </w:r>
          </w:p>
        </w:tc>
        <w:tc>
          <w:tcPr>
            <w:tcW w:w="7450" w:type="dxa"/>
            <w:noWrap w:val="0"/>
            <w:vAlign w:val="center"/>
          </w:tcPr>
          <w:p w14:paraId="157A92B8">
            <w:pPr>
              <w:keepNext w:val="0"/>
              <w:keepLines w:val="0"/>
              <w:pageBreakBefore w:val="0"/>
              <w:widowControl w:val="0"/>
              <w:kinsoku/>
              <w:topLinePunct w:val="0"/>
              <w:autoSpaceDE/>
              <w:autoSpaceDN/>
              <w:bidi w:val="0"/>
              <w:spacing w:line="400" w:lineRule="exact"/>
              <w:jc w:val="both"/>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满足采购要求且机构报价中最低的报价为评审基准价，其价格分值为满分</w:t>
            </w:r>
            <w:r>
              <w:rPr>
                <w:rFonts w:hint="eastAsia" w:ascii="Times New Roman" w:hAnsi="Times New Roman" w:eastAsia="仿宋" w:cs="Times New Roman"/>
                <w:color w:val="000000" w:themeColor="text1"/>
                <w:sz w:val="28"/>
                <w:szCs w:val="28"/>
                <w:lang w:val="en-US" w:eastAsia="zh-CN"/>
                <w14:textFill>
                  <w14:solidFill>
                    <w14:schemeClr w14:val="tx1"/>
                  </w14:solidFill>
                </w14:textFill>
              </w:rPr>
              <w:t>40分</w:t>
            </w:r>
            <w:r>
              <w:rPr>
                <w:rFonts w:hint="default" w:ascii="Times New Roman" w:hAnsi="Times New Roman" w:eastAsia="仿宋" w:cs="Times New Roman"/>
                <w:color w:val="000000" w:themeColor="text1"/>
                <w:sz w:val="28"/>
                <w:szCs w:val="28"/>
                <w14:textFill>
                  <w14:solidFill>
                    <w14:schemeClr w14:val="tx1"/>
                  </w14:solidFill>
                </w14:textFill>
              </w:rPr>
              <w:t>；其他</w:t>
            </w:r>
            <w:r>
              <w:rPr>
                <w:rFonts w:hint="eastAsia" w:ascii="Times New Roman" w:hAnsi="Times New Roman" w:eastAsia="仿宋" w:cs="Times New Roman"/>
                <w:color w:val="000000" w:themeColor="text1"/>
                <w:sz w:val="28"/>
                <w:szCs w:val="28"/>
                <w:lang w:eastAsia="zh-CN"/>
                <w14:textFill>
                  <w14:solidFill>
                    <w14:schemeClr w14:val="tx1"/>
                  </w14:solidFill>
                </w14:textFill>
              </w:rPr>
              <w:t>供应商</w:t>
            </w:r>
            <w:r>
              <w:rPr>
                <w:rFonts w:hint="default" w:ascii="Times New Roman" w:hAnsi="Times New Roman" w:eastAsia="仿宋" w:cs="Times New Roman"/>
                <w:color w:val="000000" w:themeColor="text1"/>
                <w:sz w:val="28"/>
                <w:szCs w:val="28"/>
                <w14:textFill>
                  <w14:solidFill>
                    <w14:schemeClr w14:val="tx1"/>
                  </w14:solidFill>
                </w14:textFill>
              </w:rPr>
              <w:t>的价格分值按照以下公式计算：评审报价得分=（评审基准价/机构报价）×</w:t>
            </w:r>
            <w:r>
              <w:rPr>
                <w:rFonts w:hint="eastAsia" w:ascii="Times New Roman" w:hAnsi="Times New Roman" w:eastAsia="仿宋" w:cs="Times New Roman"/>
                <w:color w:val="000000" w:themeColor="text1"/>
                <w:sz w:val="28"/>
                <w:szCs w:val="28"/>
                <w:lang w:val="en-US" w:eastAsia="zh-CN"/>
                <w14:textFill>
                  <w14:solidFill>
                    <w14:schemeClr w14:val="tx1"/>
                  </w14:solidFill>
                </w14:textFill>
              </w:rPr>
              <w:t>4</w:t>
            </w:r>
            <w:r>
              <w:rPr>
                <w:rFonts w:hint="default" w:ascii="Times New Roman" w:hAnsi="Times New Roman" w:eastAsia="仿宋" w:cs="Times New Roman"/>
                <w:color w:val="000000" w:themeColor="text1"/>
                <w:sz w:val="28"/>
                <w:szCs w:val="28"/>
                <w14:textFill>
                  <w14:solidFill>
                    <w14:schemeClr w14:val="tx1"/>
                  </w14:solidFill>
                </w14:textFill>
              </w:rPr>
              <w:t>0</w:t>
            </w:r>
          </w:p>
          <w:p w14:paraId="31E8BF45">
            <w:pPr>
              <w:keepNext w:val="0"/>
              <w:keepLines w:val="0"/>
              <w:pageBreakBefore w:val="0"/>
              <w:widowControl w:val="0"/>
              <w:kinsoku/>
              <w:topLinePunct w:val="0"/>
              <w:autoSpaceDE/>
              <w:autoSpaceDN/>
              <w:bidi w:val="0"/>
              <w:spacing w:line="400" w:lineRule="exact"/>
              <w:jc w:val="both"/>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注：如</w:t>
            </w:r>
            <w:r>
              <w:rPr>
                <w:rFonts w:hint="eastAsia" w:ascii="Times New Roman" w:hAnsi="Times New Roman" w:eastAsia="仿宋" w:cs="Times New Roman"/>
                <w:color w:val="000000" w:themeColor="text1"/>
                <w:sz w:val="28"/>
                <w:szCs w:val="28"/>
                <w:lang w:eastAsia="zh-CN"/>
                <w14:textFill>
                  <w14:solidFill>
                    <w14:schemeClr w14:val="tx1"/>
                  </w14:solidFill>
                </w14:textFill>
              </w:rPr>
              <w:t>某供应商</w:t>
            </w:r>
            <w:r>
              <w:rPr>
                <w:rFonts w:hint="default" w:ascii="Times New Roman" w:hAnsi="Times New Roman" w:eastAsia="仿宋" w:cs="Times New Roman"/>
                <w:color w:val="000000" w:themeColor="text1"/>
                <w:sz w:val="28"/>
                <w:szCs w:val="28"/>
                <w14:textFill>
                  <w14:solidFill>
                    <w14:schemeClr w14:val="tx1"/>
                  </w14:solidFill>
                </w14:textFill>
              </w:rPr>
              <w:t>报价低于所有合格</w:t>
            </w:r>
            <w:r>
              <w:rPr>
                <w:rFonts w:hint="eastAsia" w:ascii="Times New Roman" w:hAnsi="Times New Roman" w:eastAsia="仿宋" w:cs="Times New Roman"/>
                <w:color w:val="000000" w:themeColor="text1"/>
                <w:sz w:val="28"/>
                <w:szCs w:val="28"/>
                <w:lang w:eastAsia="zh-CN"/>
                <w14:textFill>
                  <w14:solidFill>
                    <w14:schemeClr w14:val="tx1"/>
                  </w14:solidFill>
                </w14:textFill>
              </w:rPr>
              <w:t>供应商</w:t>
            </w:r>
            <w:r>
              <w:rPr>
                <w:rFonts w:hint="default" w:ascii="Times New Roman" w:hAnsi="Times New Roman" w:eastAsia="仿宋" w:cs="Times New Roman"/>
                <w:color w:val="000000" w:themeColor="text1"/>
                <w:sz w:val="28"/>
                <w:szCs w:val="28"/>
                <w14:textFill>
                  <w14:solidFill>
                    <w14:schemeClr w14:val="tx1"/>
                  </w14:solidFill>
                </w14:textFill>
              </w:rPr>
              <w:t>报价平均值</w:t>
            </w:r>
            <w:r>
              <w:rPr>
                <w:rFonts w:hint="eastAsia" w:ascii="Times New Roman" w:hAnsi="Times New Roman" w:eastAsia="仿宋" w:cs="Times New Roman"/>
                <w:color w:val="000000" w:themeColor="text1"/>
                <w:sz w:val="28"/>
                <w:szCs w:val="28"/>
                <w:lang w:val="en-US" w:eastAsia="zh-CN"/>
                <w14:textFill>
                  <w14:solidFill>
                    <w14:schemeClr w14:val="tx1"/>
                  </w14:solidFill>
                </w14:textFill>
              </w:rPr>
              <w:t>50</w:t>
            </w:r>
            <w:r>
              <w:rPr>
                <w:rFonts w:hint="default" w:ascii="Times New Roman" w:hAnsi="Times New Roman" w:eastAsia="仿宋" w:cs="Times New Roman"/>
                <w:color w:val="000000" w:themeColor="text1"/>
                <w:sz w:val="28"/>
                <w:szCs w:val="28"/>
                <w14:textFill>
                  <w14:solidFill>
                    <w14:schemeClr w14:val="tx1"/>
                  </w14:solidFill>
                </w14:textFill>
              </w:rPr>
              <w:t>%的，有可能影响服务质量或不能诚信履约的，评审组</w:t>
            </w:r>
            <w:r>
              <w:rPr>
                <w:rFonts w:hint="eastAsia" w:ascii="Times New Roman" w:hAnsi="Times New Roman" w:eastAsia="仿宋" w:cs="Times New Roman"/>
                <w:color w:val="000000" w:themeColor="text1"/>
                <w:sz w:val="28"/>
                <w:szCs w:val="28"/>
                <w:lang w:eastAsia="zh-CN"/>
                <w14:textFill>
                  <w14:solidFill>
                    <w14:schemeClr w14:val="tx1"/>
                  </w14:solidFill>
                </w14:textFill>
              </w:rPr>
              <w:t>将</w:t>
            </w:r>
            <w:r>
              <w:rPr>
                <w:rFonts w:hint="default" w:ascii="Times New Roman" w:hAnsi="Times New Roman" w:eastAsia="仿宋" w:cs="Times New Roman"/>
                <w:color w:val="000000" w:themeColor="text1"/>
                <w:sz w:val="28"/>
                <w:szCs w:val="28"/>
                <w14:textFill>
                  <w14:solidFill>
                    <w14:schemeClr w14:val="tx1"/>
                  </w14:solidFill>
                </w14:textFill>
              </w:rPr>
              <w:t>启动异常低价核查，要求其在评标现场合理的时间内提供书面说明及证明材料</w:t>
            </w:r>
            <w:r>
              <w:rPr>
                <w:rFonts w:hint="eastAsia" w:ascii="Times New Roman" w:hAnsi="Times New Roman" w:eastAsia="仿宋" w:cs="Times New Roman"/>
                <w:color w:val="000000" w:themeColor="text1"/>
                <w:sz w:val="28"/>
                <w:szCs w:val="28"/>
                <w:lang w:eastAsia="zh-CN"/>
                <w14:textFill>
                  <w14:solidFill>
                    <w14:schemeClr w14:val="tx1"/>
                  </w14:solidFill>
                </w14:textFill>
              </w:rPr>
              <w:t>，由</w:t>
            </w:r>
            <w:r>
              <w:rPr>
                <w:rFonts w:hint="default" w:ascii="Times New Roman" w:hAnsi="Times New Roman" w:eastAsia="仿宋" w:cs="Times New Roman"/>
                <w:color w:val="000000" w:themeColor="text1"/>
                <w:sz w:val="28"/>
                <w:szCs w:val="28"/>
                <w14:textFill>
                  <w14:solidFill>
                    <w14:schemeClr w14:val="tx1"/>
                  </w14:solidFill>
                </w14:textFill>
              </w:rPr>
              <w:t>评审小组对</w:t>
            </w:r>
            <w:r>
              <w:rPr>
                <w:rFonts w:hint="eastAsia" w:ascii="Times New Roman" w:hAnsi="Times New Roman" w:eastAsia="仿宋" w:cs="Times New Roman"/>
                <w:color w:val="000000" w:themeColor="text1"/>
                <w:sz w:val="28"/>
                <w:szCs w:val="28"/>
                <w:lang w:eastAsia="zh-CN"/>
                <w14:textFill>
                  <w14:solidFill>
                    <w14:schemeClr w14:val="tx1"/>
                  </w14:solidFill>
                </w14:textFill>
              </w:rPr>
              <w:t>其</w:t>
            </w:r>
            <w:r>
              <w:rPr>
                <w:rFonts w:hint="default" w:ascii="Times New Roman" w:hAnsi="Times New Roman" w:eastAsia="仿宋" w:cs="Times New Roman"/>
                <w:color w:val="000000" w:themeColor="text1"/>
                <w:sz w:val="28"/>
                <w:szCs w:val="28"/>
                <w14:textFill>
                  <w14:solidFill>
                    <w14:schemeClr w14:val="tx1"/>
                  </w14:solidFill>
                </w14:textFill>
              </w:rPr>
              <w:t>报价合理性进行判断</w:t>
            </w:r>
            <w:r>
              <w:rPr>
                <w:rFonts w:hint="eastAsia" w:ascii="Times New Roman" w:hAnsi="Times New Roman" w:eastAsia="仿宋" w:cs="Times New Roman"/>
                <w:color w:val="000000" w:themeColor="text1"/>
                <w:sz w:val="28"/>
                <w:szCs w:val="28"/>
                <w:lang w:eastAsia="zh-CN"/>
                <w14:textFill>
                  <w14:solidFill>
                    <w14:schemeClr w14:val="tx1"/>
                  </w14:solidFill>
                </w14:textFill>
              </w:rPr>
              <w:t>。如供应商</w:t>
            </w:r>
            <w:r>
              <w:rPr>
                <w:rFonts w:hint="default" w:ascii="Times New Roman" w:hAnsi="Times New Roman" w:eastAsia="仿宋" w:cs="Times New Roman"/>
                <w:color w:val="000000" w:themeColor="text1"/>
                <w:sz w:val="28"/>
                <w:szCs w:val="28"/>
                <w14:textFill>
                  <w14:solidFill>
                    <w14:schemeClr w14:val="tx1"/>
                  </w14:solidFill>
                </w14:textFill>
              </w:rPr>
              <w:t>不能提供书面说明、证明材料或提供的书面说明、证明材料不能证明其报价合理性的，将作为无效投标（响应）处理。</w:t>
            </w:r>
          </w:p>
        </w:tc>
      </w:tr>
      <w:tr w14:paraId="58A7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8" w:hRule="atLeast"/>
          <w:jc w:val="center"/>
        </w:trPr>
        <w:tc>
          <w:tcPr>
            <w:tcW w:w="738" w:type="dxa"/>
            <w:noWrap w:val="0"/>
            <w:vAlign w:val="center"/>
          </w:tcPr>
          <w:p w14:paraId="5103018E">
            <w:pPr>
              <w:keepNext w:val="0"/>
              <w:keepLines w:val="0"/>
              <w:pageBreakBefore w:val="0"/>
              <w:widowControl w:val="0"/>
              <w:kinsoku/>
              <w:topLinePunct w:val="0"/>
              <w:autoSpaceDE/>
              <w:autoSpaceDN/>
              <w:bidi w:val="0"/>
              <w:spacing w:line="400" w:lineRule="exact"/>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2</w:t>
            </w:r>
          </w:p>
        </w:tc>
        <w:tc>
          <w:tcPr>
            <w:tcW w:w="920" w:type="dxa"/>
            <w:noWrap w:val="0"/>
            <w:vAlign w:val="center"/>
          </w:tcPr>
          <w:p w14:paraId="379BCB88">
            <w:pPr>
              <w:keepNext w:val="0"/>
              <w:keepLines w:val="0"/>
              <w:pageBreakBefore w:val="0"/>
              <w:widowControl w:val="0"/>
              <w:kinsoku/>
              <w:topLinePunct w:val="0"/>
              <w:autoSpaceDE/>
              <w:autoSpaceDN/>
              <w:bidi w:val="0"/>
              <w:spacing w:line="400" w:lineRule="exact"/>
              <w:jc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综合实力</w:t>
            </w:r>
          </w:p>
        </w:tc>
        <w:tc>
          <w:tcPr>
            <w:tcW w:w="853" w:type="dxa"/>
            <w:noWrap w:val="0"/>
            <w:vAlign w:val="center"/>
          </w:tcPr>
          <w:p w14:paraId="33BAFCF1">
            <w:pPr>
              <w:keepNext w:val="0"/>
              <w:keepLines w:val="0"/>
              <w:pageBreakBefore w:val="0"/>
              <w:widowControl w:val="0"/>
              <w:kinsoku/>
              <w:topLinePunct w:val="0"/>
              <w:autoSpaceDE/>
              <w:autoSpaceDN/>
              <w:bidi w:val="0"/>
              <w:spacing w:line="400" w:lineRule="exact"/>
              <w:jc w:val="center"/>
              <w:rPr>
                <w:rFonts w:hint="eastAsia" w:ascii="Times New Roman" w:hAnsi="Times New Roman" w:eastAsia="仿宋"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60</w:t>
            </w:r>
            <w:r>
              <w:rPr>
                <w:rFonts w:hint="default" w:ascii="Times New Roman" w:hAnsi="Times New Roman" w:eastAsia="仿宋" w:cs="Times New Roman"/>
                <w:color w:val="000000" w:themeColor="text1"/>
                <w:sz w:val="28"/>
                <w:szCs w:val="28"/>
                <w14:textFill>
                  <w14:solidFill>
                    <w14:schemeClr w14:val="tx1"/>
                  </w14:solidFill>
                </w14:textFill>
              </w:rPr>
              <w:t>分</w:t>
            </w:r>
          </w:p>
        </w:tc>
        <w:tc>
          <w:tcPr>
            <w:tcW w:w="7450" w:type="dxa"/>
            <w:noWrap w:val="0"/>
            <w:vAlign w:val="center"/>
          </w:tcPr>
          <w:p w14:paraId="3AA3EAF8">
            <w:pPr>
              <w:keepNext w:val="0"/>
              <w:keepLines w:val="0"/>
              <w:pageBreakBefore w:val="0"/>
              <w:widowControl w:val="0"/>
              <w:numPr>
                <w:ilvl w:val="0"/>
                <w:numId w:val="1"/>
              </w:numPr>
              <w:kinsoku/>
              <w:topLinePunct w:val="0"/>
              <w:autoSpaceDE/>
              <w:autoSpaceDN/>
              <w:bidi w:val="0"/>
              <w:spacing w:line="400" w:lineRule="exact"/>
              <w:ind w:left="0" w:leftChars="0" w:firstLine="0" w:firstLineChars="0"/>
              <w:jc w:val="both"/>
              <w:rPr>
                <w:rFonts w:hint="eastAsia" w:ascii="Times New Roman" w:hAnsi="Times New Roman" w:eastAsia="仿宋"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技术工人具有印刷类职业资格证书（印前制作、印刷、装订各1人），每个证书计3分，本项最高计10分。技术工人须提供相关证书复印件以及投标单位为其缴纳的2026年1月以来任意连续3个月的社保证明复印件，否则不计分）。</w:t>
            </w:r>
          </w:p>
          <w:p w14:paraId="14A559A0">
            <w:pPr>
              <w:keepNext w:val="0"/>
              <w:keepLines w:val="0"/>
              <w:pageBreakBefore w:val="0"/>
              <w:widowControl w:val="0"/>
              <w:numPr>
                <w:ilvl w:val="0"/>
                <w:numId w:val="1"/>
              </w:numPr>
              <w:kinsoku/>
              <w:topLinePunct w:val="0"/>
              <w:autoSpaceDE/>
              <w:autoSpaceDN/>
              <w:bidi w:val="0"/>
              <w:spacing w:line="400" w:lineRule="exact"/>
              <w:ind w:left="0" w:leftChars="0" w:firstLine="0" w:firstLineChars="0"/>
              <w:jc w:val="both"/>
              <w:rPr>
                <w:rFonts w:hint="eastAsia" w:ascii="Times New Roman" w:hAnsi="Times New Roman" w:eastAsia="仿宋"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相关认证。投标人具有：①质量管理体系认证证书、环境管理体系认证证书、职业健康管理体系认证证书（提供有效期内证书复印件及全国认证认可信息公共服务平台查询截图，未按要求提供不计分）②G7或C9专业色彩管理体系认证证书③中国环境标志产品认证证书。每个证书计5分，本项最高计30分。</w:t>
            </w:r>
          </w:p>
          <w:p w14:paraId="74B2E934">
            <w:pPr>
              <w:keepNext w:val="0"/>
              <w:keepLines w:val="0"/>
              <w:pageBreakBefore w:val="0"/>
              <w:widowControl w:val="0"/>
              <w:numPr>
                <w:ilvl w:val="0"/>
                <w:numId w:val="1"/>
              </w:numPr>
              <w:kinsoku/>
              <w:topLinePunct w:val="0"/>
              <w:autoSpaceDE/>
              <w:autoSpaceDN/>
              <w:bidi w:val="0"/>
              <w:spacing w:line="400" w:lineRule="exact"/>
              <w:ind w:left="0" w:leftChars="0" w:firstLine="0" w:firstLineChars="0"/>
              <w:jc w:val="both"/>
              <w:rPr>
                <w:rFonts w:hint="eastAsia" w:ascii="Times New Roman" w:hAnsi="Times New Roman" w:eastAsia="仿宋"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设备：有CTP直接制版设备计5分；有1台对开八色印刷机计5分，有1台对开四色印刷机计5分，有1台对开单色（或双色）印刷机计5分。每项设备按分值加分，不可重复加分，本项最高得分为20分。</w:t>
            </w:r>
          </w:p>
          <w:p w14:paraId="15696B74">
            <w:pPr>
              <w:keepNext w:val="0"/>
              <w:keepLines w:val="0"/>
              <w:pageBreakBefore w:val="0"/>
              <w:widowControl w:val="0"/>
              <w:kinsoku/>
              <w:topLinePunct w:val="0"/>
              <w:autoSpaceDE/>
              <w:autoSpaceDN/>
              <w:bidi w:val="0"/>
              <w:spacing w:line="400" w:lineRule="exact"/>
              <w:jc w:val="both"/>
              <w:rPr>
                <w:rFonts w:hint="default" w:ascii="Times New Roman" w:hAnsi="Times New Roman" w:eastAsia="仿宋" w:cs="Times New Roman"/>
                <w:color w:val="000000" w:themeColor="text1"/>
                <w:sz w:val="28"/>
                <w:szCs w:val="28"/>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注：以上须提供投标人厂房内设备安装完成的实景照片和购买设备的发票复印件，否则不计分。</w:t>
            </w:r>
          </w:p>
        </w:tc>
      </w:tr>
    </w:tbl>
    <w:p w14:paraId="5287D8FF">
      <w:pPr>
        <w:keepNext w:val="0"/>
        <w:keepLines w:val="0"/>
        <w:pageBreakBefore w:val="0"/>
        <w:widowControl w:val="0"/>
        <w:numPr>
          <w:ilvl w:val="0"/>
          <w:numId w:val="0"/>
        </w:numPr>
        <w:kinsoku/>
        <w:topLinePunct w:val="0"/>
        <w:autoSpaceDE/>
        <w:autoSpaceDN/>
        <w:bidi w:val="0"/>
        <w:spacing w:line="400" w:lineRule="exact"/>
        <w:ind w:right="-395" w:rightChars="-188" w:firstLine="560" w:firstLineChars="200"/>
        <w:jc w:val="both"/>
        <w:rPr>
          <w:rFonts w:hint="default" w:ascii="Times New Roman" w:hAnsi="Times New Roman" w:eastAsia="仿宋"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注</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：综合</w:t>
      </w:r>
      <w:r>
        <w:rPr>
          <w:rFonts w:hint="eastAsia" w:ascii="Times New Roman" w:hAnsi="Times New Roman" w:eastAsia="仿宋" w:cs="Times New Roman"/>
          <w:color w:val="000000" w:themeColor="text1"/>
          <w:sz w:val="28"/>
          <w:szCs w:val="28"/>
          <w:lang w:val="en-US" w:eastAsia="zh-CN"/>
          <w14:textFill>
            <w14:solidFill>
              <w14:schemeClr w14:val="tx1"/>
            </w14:solidFill>
          </w14:textFill>
        </w:rPr>
        <w:t>实力</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得分相同的，按价格分由高到低顺序排列</w:t>
      </w:r>
      <w:r>
        <w:rPr>
          <w:rFonts w:hint="eastAsia" w:ascii="Times New Roman" w:hAnsi="Times New Roman" w:eastAsia="仿宋" w:cs="Times New Roman"/>
          <w:color w:val="000000" w:themeColor="text1"/>
          <w:sz w:val="28"/>
          <w:szCs w:val="28"/>
          <w:lang w:val="en-US" w:eastAsia="zh-CN"/>
          <w14:textFill>
            <w14:solidFill>
              <w14:schemeClr w14:val="tx1"/>
            </w14:solidFill>
          </w14:textFill>
        </w:rPr>
        <w:t>；</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仍相同的，</w:t>
      </w:r>
      <w:r>
        <w:rPr>
          <w:rFonts w:hint="eastAsia" w:ascii="Times New Roman" w:hAnsi="Times New Roman" w:eastAsia="仿宋" w:cs="Times New Roman"/>
          <w:color w:val="000000" w:themeColor="text1"/>
          <w:sz w:val="28"/>
          <w:szCs w:val="28"/>
          <w:lang w:val="en-US" w:eastAsia="zh-CN"/>
          <w14:textFill>
            <w14:solidFill>
              <w14:schemeClr w14:val="tx1"/>
            </w14:solidFill>
          </w14:textFill>
        </w:rPr>
        <w:t>由评审小组</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记名投票确定。</w:t>
      </w:r>
    </w:p>
    <w:sectPr>
      <w:footerReference r:id="rId3" w:type="default"/>
      <w:pgSz w:w="11906" w:h="16838"/>
      <w:pgMar w:top="1701" w:right="1531" w:bottom="170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腾祥沁圆简-W2">
    <w:altName w:val="宋体"/>
    <w:panose1 w:val="01010104010101010101"/>
    <w:charset w:val="86"/>
    <w:family w:val="auto"/>
    <w:pitch w:val="default"/>
    <w:sig w:usb0="00000000" w:usb1="00000000" w:usb2="00000012" w:usb3="00000000" w:csb0="00040001" w:csb1="00000000"/>
  </w:font>
  <w:font w:name="方正公文楷体">
    <w:panose1 w:val="02000500000000000000"/>
    <w:charset w:val="86"/>
    <w:family w:val="auto"/>
    <w:pitch w:val="default"/>
    <w:sig w:usb0="A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方正颜宋简体">
    <w:panose1 w:val="02000000000000000000"/>
    <w:charset w:val="86"/>
    <w:family w:val="auto"/>
    <w:pitch w:val="default"/>
    <w:sig w:usb0="800002BF" w:usb1="184F6CFA" w:usb2="00000012" w:usb3="00000000" w:csb0="00040001" w:csb1="00000000"/>
  </w:font>
  <w:font w:name="汉仪劲楷简">
    <w:panose1 w:val="00020600040101010101"/>
    <w:charset w:val="86"/>
    <w:family w:val="auto"/>
    <w:pitch w:val="default"/>
    <w:sig w:usb0="A00002BF" w:usb1="18EF7CFA" w:usb2="00000016" w:usb3="00000000" w:csb0="00040000" w:csb1="00000000"/>
  </w:font>
  <w:font w:name="汉仪雅酷黑 75W">
    <w:panose1 w:val="020B0804020202020204"/>
    <w:charset w:val="86"/>
    <w:family w:val="auto"/>
    <w:pitch w:val="default"/>
    <w:sig w:usb0="A00002FF" w:usb1="28C17CFA" w:usb2="00000016" w:usb3="00000000" w:csb0="0004000F" w:csb1="00000000"/>
  </w:font>
  <w:font w:name="方正雅士黑 简 Medium">
    <w:panose1 w:val="02000600000000000000"/>
    <w:charset w:val="86"/>
    <w:family w:val="auto"/>
    <w:pitch w:val="default"/>
    <w:sig w:usb0="A00002BF" w:usb1="184F6CFA" w:usb2="00000012" w:usb3="00000000" w:csb0="00040001" w:csb1="00000000"/>
  </w:font>
  <w:font w:name="印品铸黑体">
    <w:panose1 w:val="02000500000000000000"/>
    <w:charset w:val="86"/>
    <w:family w:val="auto"/>
    <w:pitch w:val="default"/>
    <w:sig w:usb0="A00002BF" w:usb1="18CF7CFB"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174A0">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2493645</wp:posOffset>
              </wp:positionH>
              <wp:positionV relativeFrom="paragraph">
                <wp:posOffset>-237490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7C5DE">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6.35pt;margin-top:-18.7pt;height:144pt;width:144pt;mso-position-horizontal-relative:margin;mso-wrap-style:none;z-index:251659264;mso-width-relative:page;mso-height-relative:page;" filled="f" stroked="f" coordsize="21600,21600" o:gfxdata="UEsDBAoAAAAAAIdO4kAAAAAAAAAAAAAAAAAEAAAAZHJzL1BLAwQUAAAACACHTuJABgGXRdkAAAAL&#10;AQAADwAAAGRycy9kb3ducmV2LnhtbE2PwU7DMAyG70i8Q2QkbluydnRbaTqJiXJEYuXAMWu8ttA4&#10;VZJ15e0JJzja/vT7+4v9bAY2ofO9JQmrpQCG1FjdUyvhva4WW2A+KNJqsIQSvtHDvry9KVSu7ZXe&#10;cDqGlsUQ8rmS0IUw5pz7pkOj/NKOSPF2ts6oEEfXcu3UNYabgSdCZNyonuKHTo146LD5Ol6MhENV&#10;125C74YPfKnSz9enNT7PUt7frcQjsIBz+IPhVz+qQxmdTvZC2rNBQrpLNhGVsEg3a2CRyLYibk4S&#10;kgeRAS8L/r9D+QN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YBl0XZAAAACw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14:paraId="4D67C5DE">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BF3751"/>
    <w:multiLevelType w:val="singleLevel"/>
    <w:tmpl w:val="F7BF375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21905"/>
    <w:rsid w:val="02664218"/>
    <w:rsid w:val="034D4290"/>
    <w:rsid w:val="058C3E4F"/>
    <w:rsid w:val="05B72A07"/>
    <w:rsid w:val="06361199"/>
    <w:rsid w:val="0642797C"/>
    <w:rsid w:val="06CF4D9C"/>
    <w:rsid w:val="07655301"/>
    <w:rsid w:val="079923C4"/>
    <w:rsid w:val="07DB0C2F"/>
    <w:rsid w:val="082F13E8"/>
    <w:rsid w:val="08485B98"/>
    <w:rsid w:val="08744F7A"/>
    <w:rsid w:val="097A46FB"/>
    <w:rsid w:val="09E638BB"/>
    <w:rsid w:val="0A1D1C5D"/>
    <w:rsid w:val="0AC411DD"/>
    <w:rsid w:val="0BEF5501"/>
    <w:rsid w:val="0C0877E9"/>
    <w:rsid w:val="0C435736"/>
    <w:rsid w:val="0C923886"/>
    <w:rsid w:val="0C9B4D23"/>
    <w:rsid w:val="0DCE33A9"/>
    <w:rsid w:val="0DD02025"/>
    <w:rsid w:val="0EB16245"/>
    <w:rsid w:val="0ED349D0"/>
    <w:rsid w:val="0EDE4B79"/>
    <w:rsid w:val="0F2F360E"/>
    <w:rsid w:val="0FEB5E83"/>
    <w:rsid w:val="11252F1A"/>
    <w:rsid w:val="115B4B8E"/>
    <w:rsid w:val="116925DD"/>
    <w:rsid w:val="11C7D67C"/>
    <w:rsid w:val="1382383F"/>
    <w:rsid w:val="13DD5D2E"/>
    <w:rsid w:val="146B35A6"/>
    <w:rsid w:val="147541B9"/>
    <w:rsid w:val="15981A1E"/>
    <w:rsid w:val="15F1786F"/>
    <w:rsid w:val="16B03286"/>
    <w:rsid w:val="176A2D67"/>
    <w:rsid w:val="17C27715"/>
    <w:rsid w:val="18F1119C"/>
    <w:rsid w:val="190D5699"/>
    <w:rsid w:val="1955070A"/>
    <w:rsid w:val="19632260"/>
    <w:rsid w:val="1A057976"/>
    <w:rsid w:val="1A8C7124"/>
    <w:rsid w:val="1ACD76BE"/>
    <w:rsid w:val="1B5C1C2F"/>
    <w:rsid w:val="1B74042F"/>
    <w:rsid w:val="1C161DDD"/>
    <w:rsid w:val="1E7D58CB"/>
    <w:rsid w:val="1EFE5B6A"/>
    <w:rsid w:val="1F7F23A0"/>
    <w:rsid w:val="1FC80E8C"/>
    <w:rsid w:val="2039739C"/>
    <w:rsid w:val="208222FB"/>
    <w:rsid w:val="21CE6D3D"/>
    <w:rsid w:val="21F91F85"/>
    <w:rsid w:val="22482F0D"/>
    <w:rsid w:val="22DA1DB7"/>
    <w:rsid w:val="231A0405"/>
    <w:rsid w:val="232828F4"/>
    <w:rsid w:val="23837CE6"/>
    <w:rsid w:val="23EB7FF4"/>
    <w:rsid w:val="24624083"/>
    <w:rsid w:val="25DB4FB5"/>
    <w:rsid w:val="25E83F63"/>
    <w:rsid w:val="26315ACC"/>
    <w:rsid w:val="26375B18"/>
    <w:rsid w:val="26684AD9"/>
    <w:rsid w:val="26A12BEB"/>
    <w:rsid w:val="27B92B32"/>
    <w:rsid w:val="28C334D0"/>
    <w:rsid w:val="29C516E6"/>
    <w:rsid w:val="2A2134FD"/>
    <w:rsid w:val="2C5C383D"/>
    <w:rsid w:val="2C7C3EDF"/>
    <w:rsid w:val="2C8B5ED0"/>
    <w:rsid w:val="2CDB26C6"/>
    <w:rsid w:val="2D056391"/>
    <w:rsid w:val="2DBD030B"/>
    <w:rsid w:val="2DEF248E"/>
    <w:rsid w:val="2E2111E7"/>
    <w:rsid w:val="2E30169A"/>
    <w:rsid w:val="30007611"/>
    <w:rsid w:val="31025B09"/>
    <w:rsid w:val="314800F2"/>
    <w:rsid w:val="31556AAC"/>
    <w:rsid w:val="318D7151"/>
    <w:rsid w:val="31D677DA"/>
    <w:rsid w:val="32294F03"/>
    <w:rsid w:val="32A970B0"/>
    <w:rsid w:val="32F6104D"/>
    <w:rsid w:val="33A8120E"/>
    <w:rsid w:val="34C77D32"/>
    <w:rsid w:val="3519363A"/>
    <w:rsid w:val="35EA78DE"/>
    <w:rsid w:val="35F3330D"/>
    <w:rsid w:val="35FC3237"/>
    <w:rsid w:val="362C6162"/>
    <w:rsid w:val="373C7555"/>
    <w:rsid w:val="377E4EF6"/>
    <w:rsid w:val="379936DD"/>
    <w:rsid w:val="37F1169A"/>
    <w:rsid w:val="3818583F"/>
    <w:rsid w:val="39C26CA9"/>
    <w:rsid w:val="39FC471B"/>
    <w:rsid w:val="3A255F3E"/>
    <w:rsid w:val="3BCD00AB"/>
    <w:rsid w:val="3D357216"/>
    <w:rsid w:val="3DAD5744"/>
    <w:rsid w:val="3DD9737C"/>
    <w:rsid w:val="3ECC294C"/>
    <w:rsid w:val="3EFFA410"/>
    <w:rsid w:val="3F33D6E4"/>
    <w:rsid w:val="3FD9D0BE"/>
    <w:rsid w:val="3FDE23E9"/>
    <w:rsid w:val="400718BA"/>
    <w:rsid w:val="402469A1"/>
    <w:rsid w:val="40B1120B"/>
    <w:rsid w:val="41863773"/>
    <w:rsid w:val="41A842B7"/>
    <w:rsid w:val="41F66AB4"/>
    <w:rsid w:val="42073DF3"/>
    <w:rsid w:val="424D2B15"/>
    <w:rsid w:val="426052B1"/>
    <w:rsid w:val="428D0B5E"/>
    <w:rsid w:val="42C34FE0"/>
    <w:rsid w:val="43EA708E"/>
    <w:rsid w:val="44EE2D42"/>
    <w:rsid w:val="46051350"/>
    <w:rsid w:val="466510E8"/>
    <w:rsid w:val="46C57FF0"/>
    <w:rsid w:val="478C4766"/>
    <w:rsid w:val="4799478F"/>
    <w:rsid w:val="48082A30"/>
    <w:rsid w:val="48C217AD"/>
    <w:rsid w:val="491A08B0"/>
    <w:rsid w:val="495843E2"/>
    <w:rsid w:val="49AE2F5E"/>
    <w:rsid w:val="49D95B7D"/>
    <w:rsid w:val="4AF22FBA"/>
    <w:rsid w:val="4B40489E"/>
    <w:rsid w:val="4BCB1D03"/>
    <w:rsid w:val="4BEB02E1"/>
    <w:rsid w:val="4CA716A7"/>
    <w:rsid w:val="4D5A5BB5"/>
    <w:rsid w:val="4D5D0D6B"/>
    <w:rsid w:val="4D9426C5"/>
    <w:rsid w:val="4DF65BB8"/>
    <w:rsid w:val="4E3459BA"/>
    <w:rsid w:val="4E4C59F5"/>
    <w:rsid w:val="4E52113C"/>
    <w:rsid w:val="4FBBF50C"/>
    <w:rsid w:val="50E10904"/>
    <w:rsid w:val="50F32112"/>
    <w:rsid w:val="518E0905"/>
    <w:rsid w:val="51CC3097"/>
    <w:rsid w:val="51DF2696"/>
    <w:rsid w:val="51F90F4F"/>
    <w:rsid w:val="51FC7BFF"/>
    <w:rsid w:val="525E080C"/>
    <w:rsid w:val="52E96F5E"/>
    <w:rsid w:val="551676DF"/>
    <w:rsid w:val="55385830"/>
    <w:rsid w:val="55757C0E"/>
    <w:rsid w:val="55D10548"/>
    <w:rsid w:val="56797409"/>
    <w:rsid w:val="569357FD"/>
    <w:rsid w:val="58093FC9"/>
    <w:rsid w:val="58156E12"/>
    <w:rsid w:val="590744C8"/>
    <w:rsid w:val="59335C0C"/>
    <w:rsid w:val="5995282A"/>
    <w:rsid w:val="59D6612D"/>
    <w:rsid w:val="5A32165C"/>
    <w:rsid w:val="5BF3138C"/>
    <w:rsid w:val="5BFD25E1"/>
    <w:rsid w:val="5C0056E3"/>
    <w:rsid w:val="5CC0256C"/>
    <w:rsid w:val="5D5F28DD"/>
    <w:rsid w:val="5D7E59C8"/>
    <w:rsid w:val="5DCC2A50"/>
    <w:rsid w:val="5E4479EA"/>
    <w:rsid w:val="5E9510CF"/>
    <w:rsid w:val="5EAE1426"/>
    <w:rsid w:val="5EFF6126"/>
    <w:rsid w:val="5FAF69CB"/>
    <w:rsid w:val="5FEFC361"/>
    <w:rsid w:val="60172FFB"/>
    <w:rsid w:val="61687CC9"/>
    <w:rsid w:val="61A40CB4"/>
    <w:rsid w:val="61B66E21"/>
    <w:rsid w:val="62CB0FB1"/>
    <w:rsid w:val="62F32F3E"/>
    <w:rsid w:val="634C14A6"/>
    <w:rsid w:val="63A23524"/>
    <w:rsid w:val="64AC5097"/>
    <w:rsid w:val="671A71BF"/>
    <w:rsid w:val="67761987"/>
    <w:rsid w:val="67EEF021"/>
    <w:rsid w:val="67FC76A6"/>
    <w:rsid w:val="67FF064A"/>
    <w:rsid w:val="67FF9F3F"/>
    <w:rsid w:val="68860A9F"/>
    <w:rsid w:val="68FB3A5E"/>
    <w:rsid w:val="69C441F4"/>
    <w:rsid w:val="69C4D3BE"/>
    <w:rsid w:val="69FD7002"/>
    <w:rsid w:val="6A4964A7"/>
    <w:rsid w:val="6A955B90"/>
    <w:rsid w:val="6AA858C3"/>
    <w:rsid w:val="6AE547DE"/>
    <w:rsid w:val="6BF1DD5F"/>
    <w:rsid w:val="6BF50BB7"/>
    <w:rsid w:val="6C7A6242"/>
    <w:rsid w:val="6CBD325C"/>
    <w:rsid w:val="6D192AA9"/>
    <w:rsid w:val="6D1A1449"/>
    <w:rsid w:val="6D8A347E"/>
    <w:rsid w:val="6DD37264"/>
    <w:rsid w:val="6E5F098F"/>
    <w:rsid w:val="6EDA1DC4"/>
    <w:rsid w:val="6F5F1980"/>
    <w:rsid w:val="6F7F3B7A"/>
    <w:rsid w:val="6FA04DBB"/>
    <w:rsid w:val="6FCF4CB4"/>
    <w:rsid w:val="6FDD375C"/>
    <w:rsid w:val="6FEE5477"/>
    <w:rsid w:val="70025A76"/>
    <w:rsid w:val="70377598"/>
    <w:rsid w:val="704E3B1E"/>
    <w:rsid w:val="70B2124A"/>
    <w:rsid w:val="727F7289"/>
    <w:rsid w:val="72DF3E4C"/>
    <w:rsid w:val="738039EB"/>
    <w:rsid w:val="7385227C"/>
    <w:rsid w:val="73BC5F3C"/>
    <w:rsid w:val="73F5A102"/>
    <w:rsid w:val="741E0D37"/>
    <w:rsid w:val="74C337A6"/>
    <w:rsid w:val="75295853"/>
    <w:rsid w:val="75CD2682"/>
    <w:rsid w:val="7652365A"/>
    <w:rsid w:val="76B441CE"/>
    <w:rsid w:val="76C21ABB"/>
    <w:rsid w:val="76D7F7F7"/>
    <w:rsid w:val="76EF4421"/>
    <w:rsid w:val="77A42BAA"/>
    <w:rsid w:val="785F1566"/>
    <w:rsid w:val="793D1BDE"/>
    <w:rsid w:val="798530EB"/>
    <w:rsid w:val="79ED202D"/>
    <w:rsid w:val="79F74FB5"/>
    <w:rsid w:val="7AA31C12"/>
    <w:rsid w:val="7B8135C0"/>
    <w:rsid w:val="7B871525"/>
    <w:rsid w:val="7BE138B4"/>
    <w:rsid w:val="7CDB3B7F"/>
    <w:rsid w:val="7DFFB024"/>
    <w:rsid w:val="7E9B6AC9"/>
    <w:rsid w:val="7F363046"/>
    <w:rsid w:val="7F67299C"/>
    <w:rsid w:val="7F8FFC67"/>
    <w:rsid w:val="7FA94E8A"/>
    <w:rsid w:val="7FB660FB"/>
    <w:rsid w:val="7FB7CAB5"/>
    <w:rsid w:val="7FBE8F03"/>
    <w:rsid w:val="7FFB9D64"/>
    <w:rsid w:val="7FFDECB4"/>
    <w:rsid w:val="7FFFAE13"/>
    <w:rsid w:val="7FFFCB66"/>
    <w:rsid w:val="83BEFF20"/>
    <w:rsid w:val="8F7357C5"/>
    <w:rsid w:val="9CEDECB4"/>
    <w:rsid w:val="ADFFAAB4"/>
    <w:rsid w:val="AFFB517F"/>
    <w:rsid w:val="B3A6E167"/>
    <w:rsid w:val="BAF7ED9D"/>
    <w:rsid w:val="BD7DA1F1"/>
    <w:rsid w:val="BEFF1954"/>
    <w:rsid w:val="BF7C0FC6"/>
    <w:rsid w:val="BFDF6F90"/>
    <w:rsid w:val="C3FF5D10"/>
    <w:rsid w:val="C7FCCAC5"/>
    <w:rsid w:val="D7D4C367"/>
    <w:rsid w:val="DBDFD67E"/>
    <w:rsid w:val="DF6B6C98"/>
    <w:rsid w:val="DFDB1BD1"/>
    <w:rsid w:val="E7916245"/>
    <w:rsid w:val="E7D8FF1A"/>
    <w:rsid w:val="E7FA9CD3"/>
    <w:rsid w:val="FB9B882B"/>
    <w:rsid w:val="FDAF0678"/>
    <w:rsid w:val="FDBD4983"/>
    <w:rsid w:val="FE2BE285"/>
    <w:rsid w:val="FEBE84E0"/>
    <w:rsid w:val="FFC94483"/>
    <w:rsid w:val="FFDF140B"/>
    <w:rsid w:val="FFDFD801"/>
    <w:rsid w:val="FFFF4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4535</Words>
  <Characters>4796</Characters>
  <Lines>0</Lines>
  <Paragraphs>0</Paragraphs>
  <TotalTime>79</TotalTime>
  <ScaleCrop>false</ScaleCrop>
  <LinksUpToDate>false</LinksUpToDate>
  <CharactersWithSpaces>4979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2026-08-01T10:10:00Z</dcterms:created>
  <dc:creator>Administrator</dc:creator>
  <cp:lastModifiedBy>宣传中心</cp:lastModifiedBy>
  <cp:lastPrinted>2026-08-15T04:12:00Z</cp:lastPrinted>
  <dcterms:modified xsi:type="dcterms:W3CDTF">2026-10-29T00:18:45Z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eyJoZGlkIjoiZmE4YjYwYWM2ZTBjYTkwOWZlMjExZTZkZjY0Njk5OGQiLCJ1c2VySWQiOiI2MTE2ODc3MTkifQ==</vt:lpwstr>
  </property>
  <property fmtid="{D5CDD505-2E9C-101B-9397-08002B2CF9AE}" pid="4" name="ICV">
    <vt:lpwstr>A299E1E0696E3831E5157B6A1F6BD13B</vt:lpwstr>
  </property>
</Properties>
</file>